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79A67BB">
      <w:pPr>
        <w:keepNext w:val="0"/>
        <w:keepLines w:val="0"/>
        <w:pageBreakBefore w:val="0"/>
        <w:widowControl w:val="0"/>
        <w:kinsoku/>
        <w:wordWrap/>
        <w:overflowPunct/>
        <w:topLinePunct w:val="0"/>
        <w:autoSpaceDE/>
        <w:autoSpaceDN/>
        <w:bidi w:val="0"/>
        <w:adjustRightInd/>
        <w:snapToGrid/>
        <w:spacing w:line="1200" w:lineRule="exact"/>
        <w:ind w:left="0" w:leftChars="0" w:right="0" w:rightChars="0" w:firstLine="0" w:firstLineChars="0"/>
        <w:jc w:val="distribute"/>
        <w:textAlignment w:val="baseline"/>
        <w:outlineLvl w:val="9"/>
        <w:rPr>
          <w:rFonts w:hint="eastAsia" w:ascii="方正小标宋简体" w:hAnsi="方正小标宋简体" w:eastAsia="方正小标宋简体" w:cs="方正小标宋简体"/>
          <w:color w:val="FF0000"/>
          <w:spacing w:val="-20"/>
          <w:w w:val="100"/>
          <w:kern w:val="0"/>
          <w:sz w:val="80"/>
          <w:szCs w:val="80"/>
          <w:lang w:val="en-US" w:eastAsia="zh-CN" w:bidi="ar-SA"/>
        </w:rPr>
      </w:pPr>
      <w:r>
        <w:rPr>
          <w:rFonts w:hint="eastAsia" w:ascii="方正小标宋简体" w:hAnsi="方正小标宋简体" w:eastAsia="方正小标宋简体" w:cs="方正小标宋简体"/>
          <w:color w:val="FF0000"/>
          <w:spacing w:val="-20"/>
          <w:w w:val="100"/>
          <w:kern w:val="0"/>
          <w:sz w:val="80"/>
          <w:szCs w:val="80"/>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4987290</wp:posOffset>
                </wp:positionH>
                <wp:positionV relativeFrom="paragraph">
                  <wp:posOffset>6350</wp:posOffset>
                </wp:positionV>
                <wp:extent cx="1315720" cy="4361180"/>
                <wp:effectExtent l="4445" t="4445" r="13335" b="15875"/>
                <wp:wrapTight wrapText="bothSides">
                  <wp:wrapPolygon>
                    <wp:start x="21592" y="-2"/>
                    <wp:lineTo x="0" y="0"/>
                    <wp:lineTo x="0" y="21600"/>
                    <wp:lineTo x="21592" y="21602"/>
                    <wp:lineTo x="8" y="21602"/>
                    <wp:lineTo x="21600" y="21600"/>
                    <wp:lineTo x="21600" y="0"/>
                    <wp:lineTo x="8" y="-2"/>
                    <wp:lineTo x="21592" y="-2"/>
                  </wp:wrapPolygon>
                </wp:wrapTight>
                <wp:docPr id="1" name="文本框 9"/>
                <wp:cNvGraphicFramePr/>
                <a:graphic xmlns:a="http://schemas.openxmlformats.org/drawingml/2006/main">
                  <a:graphicData uri="http://schemas.microsoft.com/office/word/2010/wordprocessingShape">
                    <wps:wsp>
                      <wps:cNvSpPr txBox="1"/>
                      <wps:spPr>
                        <a:xfrm>
                          <a:off x="0" y="0"/>
                          <a:ext cx="1315720" cy="436118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4D112FF4">
                            <w:pPr>
                              <w:rPr>
                                <w:rFonts w:hint="eastAsia" w:ascii="方正小标宋简体" w:hAnsi="方正小标宋简体" w:eastAsia="方正小标宋简体" w:cs="方正小标宋简体"/>
                                <w:color w:val="FF0000"/>
                                <w:spacing w:val="0"/>
                                <w:w w:val="80"/>
                                <w:kern w:val="0"/>
                                <w:sz w:val="52"/>
                                <w:szCs w:val="52"/>
                              </w:rPr>
                            </w:pPr>
                          </w:p>
                          <w:p w14:paraId="57341F46">
                            <w:pPr>
                              <w:rPr>
                                <w:rFonts w:hint="eastAsia" w:ascii="方正小标宋简体" w:hAnsi="方正小标宋简体" w:eastAsia="方正小标宋简体" w:cs="方正小标宋简体"/>
                                <w:color w:val="FF0000"/>
                                <w:spacing w:val="-20"/>
                                <w:w w:val="90"/>
                                <w:kern w:val="0"/>
                                <w:sz w:val="80"/>
                                <w:szCs w:val="80"/>
                                <w:lang w:val="en-US" w:eastAsia="zh-CN" w:bidi="ar-SA"/>
                              </w:rPr>
                            </w:pPr>
                          </w:p>
                          <w:p w14:paraId="7884D45C">
                            <w:r>
                              <w:rPr>
                                <w:rFonts w:hint="eastAsia" w:ascii="方正小标宋简体" w:hAnsi="方正小标宋简体" w:eastAsia="方正小标宋简体" w:cs="方正小标宋简体"/>
                                <w:color w:val="FF0000"/>
                                <w:spacing w:val="0"/>
                                <w:w w:val="80"/>
                                <w:kern w:val="0"/>
                                <w:sz w:val="96"/>
                                <w:szCs w:val="96"/>
                              </w:rPr>
                              <w:t>文件</w:t>
                            </w:r>
                          </w:p>
                        </w:txbxContent>
                      </wps:txbx>
                      <wps:bodyPr vert="horz" wrap="square" anchor="t" anchorCtr="0" upright="1"/>
                    </wps:wsp>
                  </a:graphicData>
                </a:graphic>
              </wp:anchor>
            </w:drawing>
          </mc:Choice>
          <mc:Fallback>
            <w:pict>
              <v:shape id="文本框 9" o:spid="_x0000_s1026" o:spt="202" type="#_x0000_t202" style="position:absolute;left:0pt;margin-left:392.7pt;margin-top:0.5pt;height:343.4pt;width:103.6pt;mso-wrap-distance-left:9pt;mso-wrap-distance-right:9pt;z-index:-251657216;mso-width-relative:page;mso-height-relative:page;" fillcolor="#FFFFFF" filled="t" stroked="t" coordsize="21600,21600" wrapcoords="21592 -2 0 0 0 21600 21592 21602 8 21602 21600 21600 21600 0 8 -2 21592 -2" o:gfxdata="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qHEs49gAAAAJAQAADwAAAAAAAAABACAAAAAiAAAAZHJzL2Rvd25yZXYueG1sUEsBAhQAFAAA&#10;AAgAh07iQAm1vdcoAgAAagQAAA4AAAAAAAAAAQAgAAAAJwEAAGRycy9lMm9Eb2MueG1sUEsFBgAA&#10;AAAGAAYAWQEAAMEFAAAAAA==&#10;">
                <v:fill on="t" focussize="0,0"/>
                <v:stroke color="#FFFFFF" joinstyle="miter"/>
                <v:imagedata o:title=""/>
                <o:lock v:ext="edit" aspectratio="f"/>
                <v:textbox>
                  <w:txbxContent>
                    <w:p w14:paraId="4D112FF4">
                      <w:pPr>
                        <w:rPr>
                          <w:rFonts w:hint="eastAsia" w:ascii="方正小标宋简体" w:hAnsi="方正小标宋简体" w:eastAsia="方正小标宋简体" w:cs="方正小标宋简体"/>
                          <w:color w:val="FF0000"/>
                          <w:spacing w:val="0"/>
                          <w:w w:val="80"/>
                          <w:kern w:val="0"/>
                          <w:sz w:val="52"/>
                          <w:szCs w:val="52"/>
                        </w:rPr>
                      </w:pPr>
                    </w:p>
                    <w:p w14:paraId="57341F46">
                      <w:pPr>
                        <w:rPr>
                          <w:rFonts w:hint="eastAsia" w:ascii="方正小标宋简体" w:hAnsi="方正小标宋简体" w:eastAsia="方正小标宋简体" w:cs="方正小标宋简体"/>
                          <w:color w:val="FF0000"/>
                          <w:spacing w:val="-20"/>
                          <w:w w:val="90"/>
                          <w:kern w:val="0"/>
                          <w:sz w:val="80"/>
                          <w:szCs w:val="80"/>
                          <w:lang w:val="en-US" w:eastAsia="zh-CN" w:bidi="ar-SA"/>
                        </w:rPr>
                      </w:pPr>
                    </w:p>
                    <w:p w14:paraId="7884D45C">
                      <w:r>
                        <w:rPr>
                          <w:rFonts w:hint="eastAsia" w:ascii="方正小标宋简体" w:hAnsi="方正小标宋简体" w:eastAsia="方正小标宋简体" w:cs="方正小标宋简体"/>
                          <w:color w:val="FF0000"/>
                          <w:spacing w:val="0"/>
                          <w:w w:val="80"/>
                          <w:kern w:val="0"/>
                          <w:sz w:val="96"/>
                          <w:szCs w:val="96"/>
                        </w:rPr>
                        <w:t>文件</w:t>
                      </w:r>
                    </w:p>
                  </w:txbxContent>
                </v:textbox>
                <w10:wrap type="tight"/>
              </v:shape>
            </w:pict>
          </mc:Fallback>
        </mc:AlternateContent>
      </w:r>
      <w:r>
        <w:rPr>
          <w:rFonts w:hint="eastAsia" w:ascii="方正小标宋简体" w:hAnsi="方正小标宋简体" w:eastAsia="方正小标宋简体" w:cs="方正小标宋简体"/>
          <w:color w:val="FF0000"/>
          <w:spacing w:val="-20"/>
          <w:w w:val="100"/>
          <w:kern w:val="0"/>
          <w:sz w:val="80"/>
          <w:szCs w:val="80"/>
          <w:lang w:val="en-US" w:eastAsia="zh-CN" w:bidi="ar-SA"/>
        </w:rPr>
        <w:t>福州市医疗保障局</w:t>
      </w:r>
    </w:p>
    <w:p w14:paraId="2021EE65">
      <w:pPr>
        <w:pStyle w:val="2"/>
        <w:keepNext w:val="0"/>
        <w:keepLines w:val="0"/>
        <w:pageBreakBefore w:val="0"/>
        <w:widowControl w:val="0"/>
        <w:kinsoku/>
        <w:wordWrap/>
        <w:overflowPunct/>
        <w:topLinePunct w:val="0"/>
        <w:autoSpaceDE/>
        <w:autoSpaceDN/>
        <w:bidi w:val="0"/>
        <w:adjustRightInd/>
        <w:snapToGrid/>
        <w:spacing w:line="1200" w:lineRule="exact"/>
        <w:ind w:left="0" w:leftChars="0" w:right="0" w:rightChars="0" w:firstLine="0" w:firstLineChars="0"/>
        <w:jc w:val="distribute"/>
        <w:outlineLvl w:val="9"/>
        <w:rPr>
          <w:rFonts w:hint="eastAsia" w:ascii="方正小标宋简体" w:hAnsi="方正小标宋简体" w:eastAsia="方正小标宋简体" w:cs="方正小标宋简体"/>
          <w:color w:val="FF0000"/>
          <w:spacing w:val="-20"/>
          <w:w w:val="100"/>
          <w:kern w:val="0"/>
          <w:sz w:val="80"/>
          <w:szCs w:val="80"/>
          <w:lang w:val="en-US" w:eastAsia="zh-CN" w:bidi="ar-SA"/>
        </w:rPr>
      </w:pPr>
      <w:r>
        <w:rPr>
          <w:rFonts w:hint="eastAsia" w:ascii="方正小标宋简体" w:hAnsi="方正小标宋简体" w:eastAsia="方正小标宋简体" w:cs="方正小标宋简体"/>
          <w:color w:val="FF0000"/>
          <w:spacing w:val="-20"/>
          <w:w w:val="100"/>
          <w:kern w:val="0"/>
          <w:sz w:val="80"/>
          <w:szCs w:val="80"/>
          <w:lang w:val="en-US" w:eastAsia="zh-CN" w:bidi="ar-SA"/>
        </w:rPr>
        <w:t>福州市中级人民法院</w:t>
      </w:r>
    </w:p>
    <w:p w14:paraId="7B2DDC12">
      <w:pPr>
        <w:pStyle w:val="2"/>
        <w:keepNext w:val="0"/>
        <w:keepLines w:val="0"/>
        <w:pageBreakBefore w:val="0"/>
        <w:widowControl w:val="0"/>
        <w:kinsoku/>
        <w:wordWrap/>
        <w:overflowPunct/>
        <w:topLinePunct w:val="0"/>
        <w:autoSpaceDE/>
        <w:autoSpaceDN/>
        <w:bidi w:val="0"/>
        <w:adjustRightInd/>
        <w:snapToGrid/>
        <w:spacing w:line="1200" w:lineRule="exact"/>
        <w:ind w:left="0" w:leftChars="0" w:right="0" w:rightChars="0" w:firstLine="0" w:firstLineChars="0"/>
        <w:jc w:val="distribute"/>
        <w:outlineLvl w:val="9"/>
        <w:rPr>
          <w:rFonts w:hint="eastAsia" w:ascii="方正小标宋简体" w:hAnsi="方正小标宋简体" w:eastAsia="方正小标宋简体" w:cs="方正小标宋简体"/>
          <w:color w:val="FF0000"/>
          <w:spacing w:val="-20"/>
          <w:w w:val="100"/>
          <w:kern w:val="0"/>
          <w:sz w:val="80"/>
          <w:szCs w:val="80"/>
          <w:lang w:val="en-US" w:eastAsia="zh-CN" w:bidi="ar-SA"/>
        </w:rPr>
      </w:pPr>
      <w:r>
        <w:rPr>
          <w:rFonts w:hint="eastAsia" w:ascii="方正小标宋简体" w:hAnsi="方正小标宋简体" w:eastAsia="方正小标宋简体" w:cs="方正小标宋简体"/>
          <w:color w:val="FF0000"/>
          <w:spacing w:val="-20"/>
          <w:w w:val="100"/>
          <w:kern w:val="0"/>
          <w:sz w:val="80"/>
          <w:szCs w:val="80"/>
          <w:lang w:val="en-US" w:eastAsia="zh-CN" w:bidi="ar-SA"/>
        </w:rPr>
        <w:t>福州市人民检察院</w:t>
      </w:r>
    </w:p>
    <w:p w14:paraId="66D03758">
      <w:pPr>
        <w:pStyle w:val="2"/>
        <w:keepNext w:val="0"/>
        <w:keepLines w:val="0"/>
        <w:pageBreakBefore w:val="0"/>
        <w:widowControl w:val="0"/>
        <w:kinsoku/>
        <w:wordWrap/>
        <w:overflowPunct/>
        <w:topLinePunct w:val="0"/>
        <w:autoSpaceDE/>
        <w:autoSpaceDN/>
        <w:bidi w:val="0"/>
        <w:adjustRightInd/>
        <w:snapToGrid/>
        <w:spacing w:line="1200" w:lineRule="exact"/>
        <w:ind w:left="0" w:leftChars="0" w:right="0" w:rightChars="0" w:firstLine="0" w:firstLineChars="0"/>
        <w:jc w:val="distribute"/>
        <w:outlineLvl w:val="9"/>
        <w:rPr>
          <w:rFonts w:hint="eastAsia" w:ascii="方正小标宋简体" w:hAnsi="方正小标宋简体" w:eastAsia="方正小标宋简体" w:cs="方正小标宋简体"/>
          <w:color w:val="FF0000"/>
          <w:spacing w:val="-20"/>
          <w:w w:val="100"/>
          <w:kern w:val="0"/>
          <w:sz w:val="80"/>
          <w:szCs w:val="80"/>
          <w:lang w:val="en-US" w:eastAsia="zh-CN" w:bidi="ar-SA"/>
        </w:rPr>
      </w:pPr>
      <w:r>
        <w:rPr>
          <w:rFonts w:hint="eastAsia" w:ascii="方正小标宋简体" w:hAnsi="方正小标宋简体" w:eastAsia="方正小标宋简体" w:cs="方正小标宋简体"/>
          <w:color w:val="FF0000"/>
          <w:spacing w:val="-20"/>
          <w:w w:val="100"/>
          <w:kern w:val="0"/>
          <w:sz w:val="80"/>
          <w:szCs w:val="80"/>
          <w:lang w:val="en-US" w:eastAsia="zh-CN" w:bidi="ar-SA"/>
        </w:rPr>
        <w:t>福州市公安局</w:t>
      </w:r>
    </w:p>
    <w:p w14:paraId="73053215">
      <w:pPr>
        <w:pStyle w:val="2"/>
        <w:keepNext w:val="0"/>
        <w:keepLines w:val="0"/>
        <w:pageBreakBefore w:val="0"/>
        <w:widowControl w:val="0"/>
        <w:kinsoku/>
        <w:wordWrap/>
        <w:overflowPunct/>
        <w:topLinePunct w:val="0"/>
        <w:autoSpaceDE/>
        <w:autoSpaceDN/>
        <w:bidi w:val="0"/>
        <w:adjustRightInd/>
        <w:snapToGrid/>
        <w:spacing w:line="1200" w:lineRule="exact"/>
        <w:ind w:left="0" w:leftChars="0" w:right="0" w:rightChars="0" w:firstLine="0" w:firstLineChars="0"/>
        <w:jc w:val="distribute"/>
        <w:outlineLvl w:val="9"/>
        <w:rPr>
          <w:rFonts w:hint="eastAsia" w:ascii="方正小标宋简体" w:hAnsi="方正小标宋简体" w:eastAsia="方正小标宋简体" w:cs="方正小标宋简体"/>
          <w:color w:val="FF0000"/>
          <w:spacing w:val="-20"/>
          <w:w w:val="100"/>
          <w:kern w:val="0"/>
          <w:sz w:val="80"/>
          <w:szCs w:val="80"/>
          <w:lang w:val="en-US" w:eastAsia="zh-CN" w:bidi="ar-SA"/>
        </w:rPr>
      </w:pPr>
      <w:r>
        <w:rPr>
          <w:rFonts w:hint="eastAsia" w:ascii="方正小标宋简体" w:hAnsi="方正小标宋简体" w:eastAsia="方正小标宋简体" w:cs="方正小标宋简体"/>
          <w:color w:val="FF0000"/>
          <w:spacing w:val="-20"/>
          <w:w w:val="100"/>
          <w:kern w:val="0"/>
          <w:sz w:val="80"/>
          <w:szCs w:val="80"/>
          <w:lang w:val="en-US" w:eastAsia="zh-CN" w:bidi="ar-SA"/>
        </w:rPr>
        <w:t>福州市财政局</w:t>
      </w:r>
    </w:p>
    <w:p w14:paraId="4DF5BE28">
      <w:pPr>
        <w:pStyle w:val="2"/>
        <w:keepNext w:val="0"/>
        <w:keepLines w:val="0"/>
        <w:pageBreakBefore w:val="0"/>
        <w:widowControl w:val="0"/>
        <w:kinsoku/>
        <w:wordWrap/>
        <w:overflowPunct/>
        <w:topLinePunct w:val="0"/>
        <w:autoSpaceDE/>
        <w:autoSpaceDN/>
        <w:bidi w:val="0"/>
        <w:adjustRightInd/>
        <w:snapToGrid/>
        <w:spacing w:line="1200" w:lineRule="exact"/>
        <w:ind w:left="0" w:leftChars="0" w:right="0" w:rightChars="0" w:firstLine="0" w:firstLineChars="0"/>
        <w:jc w:val="distribute"/>
        <w:outlineLvl w:val="9"/>
        <w:rPr>
          <w:rFonts w:hint="eastAsia"/>
          <w:spacing w:val="-20"/>
          <w:w w:val="100"/>
          <w:lang w:val="en-US" w:eastAsia="zh-CN"/>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1417" w:right="1133" w:bottom="2040" w:left="1133" w:header="851" w:footer="1531" w:gutter="0"/>
          <w:cols w:space="720" w:num="1"/>
          <w:titlePg/>
          <w:docGrid w:type="linesAndChars" w:linePitch="579" w:charSpace="1229"/>
        </w:sectPr>
      </w:pPr>
      <w:r>
        <w:rPr>
          <w:rFonts w:hint="eastAsia" w:ascii="方正小标宋简体" w:hAnsi="方正小标宋简体" w:eastAsia="方正小标宋简体" w:cs="方正小标宋简体"/>
          <w:color w:val="FF0000"/>
          <w:spacing w:val="-20"/>
          <w:w w:val="100"/>
          <w:kern w:val="0"/>
          <w:sz w:val="72"/>
          <w:szCs w:val="72"/>
          <w:lang w:val="en-US" w:eastAsia="zh-CN"/>
        </w:rPr>
        <w:t>福州市卫生健康委员会</w:t>
      </w:r>
    </w:p>
    <w:p w14:paraId="146B4D5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baseline"/>
        <w:outlineLvl w:val="9"/>
        <w:rPr>
          <w:rFonts w:hint="eastAsia" w:ascii="仿宋_GB2312" w:hAnsi="仿宋_GB2312" w:cs="仿宋_GB2312"/>
          <w:lang w:val="en-US" w:eastAsia="zh-CN"/>
        </w:rPr>
      </w:pPr>
      <w:r>
        <w:rPr>
          <w:rFonts w:hint="eastAsia" w:ascii="仿宋_GB2312" w:hAnsi="仿宋_GB2312" w:cs="仿宋_GB2312"/>
          <w:lang w:val="en-US" w:eastAsia="zh-CN"/>
        </w:rPr>
        <w:t xml:space="preserve">                  </w:t>
      </w:r>
    </w:p>
    <w:p w14:paraId="2704BFA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baseline"/>
        <w:outlineLvl w:val="9"/>
        <w:rPr>
          <w:rFonts w:hint="eastAsia" w:ascii="仿宋" w:hAnsi="仿宋" w:eastAsia="仿宋" w:cs="仿宋"/>
          <w:lang w:eastAsia="zh-CN"/>
        </w:rPr>
      </w:pPr>
      <w:r>
        <w:rPr>
          <w:rFonts w:hint="eastAsia" w:ascii="仿宋_GB2312" w:hAnsi="仿宋_GB2312" w:eastAsia="仿宋_GB2312" w:cs="仿宋_GB2312"/>
          <w:lang w:val="en-US" w:eastAsia="zh-CN"/>
        </w:rPr>
        <w:t>榕医保文〔202</w:t>
      </w:r>
      <w:r>
        <w:rPr>
          <w:rFonts w:hint="eastAsia" w:ascii="仿宋_GB2312" w:hAnsi="仿宋_GB2312" w:cs="仿宋_GB2312"/>
          <w:lang w:val="en-US" w:eastAsia="zh-CN"/>
        </w:rPr>
        <w:t>4</w:t>
      </w:r>
      <w:r>
        <w:rPr>
          <w:rFonts w:hint="eastAsia" w:ascii="仿宋_GB2312" w:hAnsi="仿宋_GB2312" w:eastAsia="仿宋_GB2312" w:cs="仿宋_GB2312"/>
          <w:lang w:val="en-US" w:eastAsia="zh-CN"/>
        </w:rPr>
        <w:t>〕</w:t>
      </w:r>
      <w:r>
        <w:rPr>
          <w:rFonts w:hint="eastAsia" w:ascii="仿宋_GB2312" w:hAnsi="仿宋_GB2312" w:cs="仿宋_GB2312"/>
          <w:lang w:val="en-US" w:eastAsia="zh-CN"/>
        </w:rPr>
        <w:t>60</w:t>
      </w:r>
      <w:r>
        <w:rPr>
          <w:rFonts w:hint="eastAsia" w:ascii="仿宋_GB2312" w:hAnsi="仿宋_GB2312" w:eastAsia="仿宋_GB2312" w:cs="仿宋_GB2312"/>
          <w:lang w:val="en-US" w:eastAsia="zh-CN"/>
        </w:rPr>
        <w:t>号</w:t>
      </w:r>
    </w:p>
    <w:p w14:paraId="13EFFA28">
      <w:pPr>
        <w:keepNext w:val="0"/>
        <w:keepLines w:val="0"/>
        <w:pageBreakBefore w:val="0"/>
        <w:widowControl w:val="0"/>
        <w:kinsoku/>
        <w:wordWrap/>
        <w:overflowPunct/>
        <w:topLinePunct w:val="0"/>
        <w:autoSpaceDE/>
        <w:autoSpaceDN/>
        <w:bidi w:val="0"/>
        <w:adjustRightInd/>
        <w:snapToGrid/>
        <w:spacing w:after="581" w:afterLines="100" w:line="560" w:lineRule="exact"/>
        <w:ind w:left="0" w:leftChars="0" w:right="0" w:rightChars="0" w:firstLine="0" w:firstLineChars="0"/>
        <w:jc w:val="center"/>
        <w:textAlignment w:val="baseline"/>
        <w:outlineLvl w:val="9"/>
        <w:rPr>
          <w:rFonts w:hint="eastAsia" w:ascii="仿宋" w:hAnsi="仿宋" w:eastAsia="仿宋" w:cs="仿宋"/>
          <w:b w:val="0"/>
          <w:i w:val="0"/>
          <w:caps w:val="0"/>
          <w:color w:val="333333"/>
          <w:spacing w:val="0"/>
          <w:kern w:val="0"/>
          <w:sz w:val="32"/>
          <w:szCs w:val="32"/>
          <w:shd w:val="clear" w:color="auto" w:fill="FFFFFF"/>
          <w:lang w:val="en-US" w:eastAsia="zh-CN" w:bidi="ar"/>
        </w:rPr>
      </w:pPr>
      <w:r>
        <w:rPr>
          <w:rFonts w:hint="eastAsia" w:ascii="仿宋" w:hAnsi="仿宋" w:eastAsia="仿宋" w:cs="仿宋"/>
          <w:u w:val="single"/>
        </w:rPr>
        <mc:AlternateContent>
          <mc:Choice Requires="wps">
            <w:drawing>
              <wp:anchor distT="0" distB="0" distL="114300" distR="114300" simplePos="0" relativeHeight="251660288" behindDoc="0" locked="0" layoutInCell="1" allowOverlap="1">
                <wp:simplePos x="0" y="0"/>
                <wp:positionH relativeFrom="column">
                  <wp:posOffset>-174625</wp:posOffset>
                </wp:positionH>
                <wp:positionV relativeFrom="paragraph">
                  <wp:posOffset>65405</wp:posOffset>
                </wp:positionV>
                <wp:extent cx="5912485" cy="8890"/>
                <wp:effectExtent l="0" t="0" r="0" b="0"/>
                <wp:wrapNone/>
                <wp:docPr id="2" name="直线 3"/>
                <wp:cNvGraphicFramePr/>
                <a:graphic xmlns:a="http://schemas.openxmlformats.org/drawingml/2006/main">
                  <a:graphicData uri="http://schemas.microsoft.com/office/word/2010/wordprocessingShape">
                    <wps:wsp>
                      <wps:cNvCnPr/>
                      <wps:spPr>
                        <a:xfrm flipV="1">
                          <a:off x="0" y="0"/>
                          <a:ext cx="5912485" cy="889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flip:y;margin-left:-13.75pt;margin-top:5.15pt;height:0.7pt;width:465.55pt;z-index:251660288;mso-width-relative:page;mso-height-relative:page;" filled="f" stroked="t" coordsize="21600,21600" o:gfxdata="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Bp3V42AAAAAkBAAAPAAAAAAAAAAEAIAAAACIAAABkcnMvZG93bnJldi54bWxQ&#10;SwECFAAUAAAACACHTuJA5xXCDPcBAADpAwAADgAAAAAAAAABACAAAAAnAQAAZHJzL2Uyb0RvYy54&#10;bWxQSwUGAAAAAAYABgBZAQAAkAUAAAAA&#10;">
                <v:fill on="f" focussize="0,0"/>
                <v:stroke weight="3pt" color="#FF0000" joinstyle="round"/>
                <v:imagedata o:title=""/>
                <o:lock v:ext="edit" aspectratio="f"/>
              </v:line>
            </w:pict>
          </mc:Fallback>
        </mc:AlternateContent>
      </w:r>
    </w:p>
    <w:p w14:paraId="0C8F0B91">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0"/>
          <w:sz w:val="44"/>
          <w:szCs w:val="44"/>
          <w:lang w:val="en-US" w:eastAsia="zh-CN" w:bidi="ar"/>
        </w:rPr>
        <w:t>福州市医疗保障局等六部门关于开展医保基金</w:t>
      </w:r>
    </w:p>
    <w:p w14:paraId="4FC0F438">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0"/>
          <w:sz w:val="44"/>
          <w:szCs w:val="44"/>
          <w:lang w:val="en-US" w:eastAsia="zh-CN" w:bidi="ar"/>
        </w:rPr>
        <w:t>违法违规问题专项整治工作的通知</w:t>
      </w:r>
    </w:p>
    <w:p w14:paraId="28CAD56A">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14:paraId="4E7B3C6F">
      <w:pPr>
        <w:keepNext w:val="0"/>
        <w:keepLines w:val="0"/>
        <w:pageBreakBefore w:val="0"/>
        <w:widowControl w:val="0"/>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各县（市）区医疗保障局、人民法院、人民检察院、公安局、财政局、卫生健康局，高新区教育和卫健局、财政金融局、市公安局上街（高新区）分局：</w:t>
      </w:r>
    </w:p>
    <w:p w14:paraId="7966E6DE">
      <w:pPr>
        <w:keepNext w:val="0"/>
        <w:keepLines w:val="0"/>
        <w:pageBreakBefore w:val="0"/>
        <w:widowControl w:val="0"/>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    现将《2024年福州市医保基金违法违规问题专项整治工作方案》印发给你们，请遵照执行。</w:t>
      </w:r>
    </w:p>
    <w:p w14:paraId="1FAC6A94">
      <w:pPr>
        <w:keepNext w:val="0"/>
        <w:keepLines w:val="0"/>
        <w:pageBreakBefore w:val="0"/>
        <w:widowControl w:val="0"/>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kern w:val="0"/>
          <w:sz w:val="32"/>
          <w:szCs w:val="32"/>
          <w:lang w:val="en-US" w:eastAsia="zh-CN" w:bidi="ar"/>
        </w:rPr>
      </w:pPr>
    </w:p>
    <w:p w14:paraId="6FAF2D6E">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4"/>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sz w:val="32"/>
          <w:szCs w:val="32"/>
          <w:lang w:val="en-US" w:eastAsia="zh-CN"/>
        </w:rPr>
        <w:t>附件：</w:t>
      </w:r>
      <w:r>
        <w:rPr>
          <w:rFonts w:hint="eastAsia" w:ascii="仿宋_GB2312" w:hAnsi="仿宋_GB2312" w:eastAsia="仿宋_GB2312" w:cs="仿宋_GB2312"/>
          <w:kern w:val="0"/>
          <w:sz w:val="32"/>
          <w:szCs w:val="32"/>
          <w:lang w:val="en-US" w:eastAsia="zh-CN" w:bidi="ar"/>
        </w:rPr>
        <w:t>2024年福州市医保基金违法违规问题专项整治工作方</w:t>
      </w:r>
    </w:p>
    <w:p w14:paraId="61D1B9A2">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4"/>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val="en-US" w:eastAsia="zh-CN" w:bidi="ar"/>
        </w:rPr>
        <w:t>案</w:t>
      </w:r>
    </w:p>
    <w:p w14:paraId="7E3562D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6CEDB337">
      <w:pPr>
        <w:keepNext w:val="0"/>
        <w:keepLines w:val="0"/>
        <w:pageBreakBefore w:val="0"/>
        <w:widowControl w:val="0"/>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cs="仿宋_GB2312"/>
          <w:sz w:val="32"/>
          <w:szCs w:val="32"/>
          <w:lang w:val="en-US" w:eastAsia="zh-CN"/>
        </w:rPr>
        <w:t xml:space="preserve"> </w:t>
      </w:r>
    </w:p>
    <w:p w14:paraId="1FC6FF21">
      <w:pPr>
        <w:keepNext w:val="0"/>
        <w:keepLines w:val="0"/>
        <w:pageBreakBefore w:val="0"/>
        <w:widowControl w:val="0"/>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xml:space="preserve">    福州市医疗保障局           福州市中级人民法院</w:t>
      </w:r>
    </w:p>
    <w:p w14:paraId="2673218B">
      <w:pPr>
        <w:keepNext w:val="0"/>
        <w:keepLines w:val="0"/>
        <w:pageBreakBefore w:val="0"/>
        <w:widowControl w:val="0"/>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  </w:t>
      </w:r>
    </w:p>
    <w:p w14:paraId="6E89F9E6">
      <w:pPr>
        <w:keepNext w:val="0"/>
        <w:keepLines w:val="0"/>
        <w:pageBreakBefore w:val="0"/>
        <w:widowControl w:val="0"/>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kern w:val="0"/>
          <w:sz w:val="32"/>
          <w:szCs w:val="32"/>
          <w:lang w:val="en-US" w:eastAsia="zh-CN" w:bidi="ar"/>
        </w:rPr>
      </w:pPr>
    </w:p>
    <w:p w14:paraId="3AF20C30">
      <w:pPr>
        <w:keepNext w:val="0"/>
        <w:keepLines w:val="0"/>
        <w:pageBreakBefore w:val="0"/>
        <w:widowControl w:val="0"/>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xml:space="preserve">    福州市人民检察院              福州市公安局</w:t>
      </w:r>
    </w:p>
    <w:p w14:paraId="50296246">
      <w:pPr>
        <w:keepNext w:val="0"/>
        <w:keepLines w:val="0"/>
        <w:pageBreakBefore w:val="0"/>
        <w:widowControl w:val="0"/>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kern w:val="0"/>
          <w:sz w:val="32"/>
          <w:szCs w:val="32"/>
          <w:lang w:val="en-US" w:eastAsia="zh-CN" w:bidi="ar"/>
        </w:rPr>
      </w:pPr>
    </w:p>
    <w:p w14:paraId="0EE2E0EB">
      <w:pPr>
        <w:keepNext w:val="0"/>
        <w:keepLines w:val="0"/>
        <w:pageBreakBefore w:val="0"/>
        <w:widowControl w:val="0"/>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kern w:val="0"/>
          <w:sz w:val="32"/>
          <w:szCs w:val="32"/>
          <w:lang w:val="en-US" w:eastAsia="zh-CN" w:bidi="ar"/>
        </w:rPr>
      </w:pPr>
    </w:p>
    <w:p w14:paraId="10259F2D">
      <w:pPr>
        <w:keepNext w:val="0"/>
        <w:keepLines w:val="0"/>
        <w:pageBreakBefore w:val="0"/>
        <w:widowControl w:val="0"/>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      福州市财政局            福州市卫生健康委员会</w:t>
      </w:r>
    </w:p>
    <w:p w14:paraId="4C18BDFB">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2024年</w:t>
      </w:r>
      <w:r>
        <w:rPr>
          <w:rFonts w:hint="eastAsia" w:ascii="仿宋_GB2312" w:hAnsi="仿宋_GB2312" w:cs="仿宋_GB2312"/>
          <w:kern w:val="0"/>
          <w:sz w:val="32"/>
          <w:szCs w:val="32"/>
          <w:lang w:val="en-US" w:eastAsia="zh-CN" w:bidi="ar"/>
        </w:rPr>
        <w:t>6</w:t>
      </w:r>
      <w:r>
        <w:rPr>
          <w:rFonts w:hint="eastAsia" w:ascii="仿宋_GB2312" w:hAnsi="仿宋_GB2312" w:eastAsia="仿宋_GB2312" w:cs="仿宋_GB2312"/>
          <w:kern w:val="0"/>
          <w:sz w:val="32"/>
          <w:szCs w:val="32"/>
          <w:lang w:val="en-US" w:eastAsia="zh-CN" w:bidi="ar"/>
        </w:rPr>
        <w:t>月</w:t>
      </w:r>
      <w:r>
        <w:rPr>
          <w:rFonts w:hint="eastAsia" w:ascii="仿宋_GB2312" w:hAnsi="仿宋_GB2312" w:cs="仿宋_GB2312"/>
          <w:kern w:val="0"/>
          <w:sz w:val="32"/>
          <w:szCs w:val="32"/>
          <w:lang w:val="en-US" w:eastAsia="zh-CN" w:bidi="ar"/>
        </w:rPr>
        <w:t>25</w:t>
      </w:r>
      <w:r>
        <w:rPr>
          <w:rFonts w:hint="eastAsia" w:ascii="仿宋_GB2312" w:hAnsi="仿宋_GB2312" w:eastAsia="仿宋_GB2312" w:cs="仿宋_GB2312"/>
          <w:kern w:val="0"/>
          <w:sz w:val="32"/>
          <w:szCs w:val="32"/>
          <w:lang w:val="en-US" w:eastAsia="zh-CN" w:bidi="ar"/>
        </w:rPr>
        <w:t>日</w:t>
      </w:r>
    </w:p>
    <w:p w14:paraId="6F6AE9E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542" w:firstLineChars="1700"/>
        <w:jc w:val="both"/>
        <w:textAlignment w:val="auto"/>
        <w:outlineLvl w:val="9"/>
        <w:rPr>
          <w:rFonts w:hint="eastAsia" w:ascii="仿宋" w:hAnsi="仿宋" w:eastAsia="仿宋" w:cs="仿宋"/>
          <w:color w:val="auto"/>
          <w:spacing w:val="0"/>
          <w:sz w:val="32"/>
          <w:szCs w:val="32"/>
          <w:lang w:val="en-US" w:eastAsia="zh-CN"/>
        </w:rPr>
      </w:pPr>
      <w:r>
        <w:rPr>
          <w:rFonts w:hint="eastAsia" w:ascii="仿宋" w:hAnsi="仿宋" w:eastAsia="仿宋" w:cs="仿宋"/>
          <w:color w:val="auto"/>
          <w:spacing w:val="0"/>
          <w:sz w:val="32"/>
          <w:szCs w:val="32"/>
          <w:lang w:val="en-US" w:eastAsia="zh-CN"/>
        </w:rPr>
        <w:t xml:space="preserve">      </w:t>
      </w:r>
    </w:p>
    <w:p w14:paraId="05BBE693">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14:paraId="55190A13">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14:paraId="2F8EAB4C">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14:paraId="4789FE62">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14:paraId="5FAF558D">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14:paraId="57D6924F">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14:paraId="07122839">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14:paraId="63E43C8C">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jc w:val="center"/>
        <w:textAlignment w:val="auto"/>
        <w:outlineLvl w:val="9"/>
        <w:rPr>
          <w:rStyle w:val="10"/>
          <w:rFonts w:hint="eastAsia" w:ascii="方正小标宋简体" w:hAnsi="方正小标宋简体" w:eastAsia="方正小标宋简体" w:cs="方正小标宋简体"/>
          <w:b w:val="0"/>
          <w:bCs/>
          <w:sz w:val="44"/>
          <w:szCs w:val="44"/>
        </w:rPr>
      </w:pPr>
      <w:r>
        <w:rPr>
          <w:rStyle w:val="10"/>
          <w:rFonts w:hint="eastAsia" w:ascii="方正小标宋简体" w:hAnsi="方正小标宋简体" w:eastAsia="方正小标宋简体" w:cs="方正小标宋简体"/>
          <w:b w:val="0"/>
          <w:bCs/>
          <w:sz w:val="44"/>
          <w:szCs w:val="44"/>
        </w:rPr>
        <w:t>2024年</w:t>
      </w:r>
      <w:r>
        <w:rPr>
          <w:rStyle w:val="10"/>
          <w:rFonts w:hint="eastAsia" w:ascii="方正小标宋简体" w:hAnsi="方正小标宋简体" w:eastAsia="方正小标宋简体" w:cs="方正小标宋简体"/>
          <w:b w:val="0"/>
          <w:bCs/>
          <w:sz w:val="44"/>
          <w:szCs w:val="44"/>
          <w:lang w:eastAsia="zh-CN"/>
        </w:rPr>
        <w:t>福州市</w:t>
      </w:r>
      <w:r>
        <w:rPr>
          <w:rStyle w:val="10"/>
          <w:rFonts w:hint="eastAsia" w:ascii="方正小标宋简体" w:hAnsi="方正小标宋简体" w:eastAsia="方正小标宋简体" w:cs="方正小标宋简体"/>
          <w:b w:val="0"/>
          <w:bCs/>
          <w:sz w:val="44"/>
          <w:szCs w:val="44"/>
        </w:rPr>
        <w:t>医保基金违法违规问题</w:t>
      </w:r>
    </w:p>
    <w:p w14:paraId="45F0A384">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jc w:val="center"/>
        <w:textAlignment w:val="auto"/>
        <w:outlineLvl w:val="9"/>
        <w:rPr>
          <w:rFonts w:hint="eastAsia" w:ascii="方正小标宋简体" w:hAnsi="方正小标宋简体" w:eastAsia="方正小标宋简体" w:cs="方正小标宋简体"/>
          <w:b w:val="0"/>
          <w:bCs/>
          <w:sz w:val="44"/>
          <w:szCs w:val="44"/>
        </w:rPr>
      </w:pPr>
      <w:r>
        <w:rPr>
          <w:rStyle w:val="10"/>
          <w:rFonts w:hint="eastAsia" w:ascii="方正小标宋简体" w:hAnsi="方正小标宋简体" w:eastAsia="方正小标宋简体" w:cs="方正小标宋简体"/>
          <w:b w:val="0"/>
          <w:bCs/>
          <w:sz w:val="44"/>
          <w:szCs w:val="44"/>
        </w:rPr>
        <w:t>专项整治工作方案</w:t>
      </w:r>
    </w:p>
    <w:p w14:paraId="05FD0DD2">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sz w:val="32"/>
          <w:szCs w:val="32"/>
        </w:rPr>
      </w:pPr>
    </w:p>
    <w:p w14:paraId="5143605B">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为贯彻落实党中央、国务院决策部署，不断强化医保基金监管，切实维护医保</w:t>
      </w:r>
      <w:r>
        <w:rPr>
          <w:rFonts w:hint="eastAsia" w:ascii="仿宋_GB2312" w:hAnsi="仿宋_GB2312" w:eastAsia="仿宋_GB2312" w:cs="仿宋_GB2312"/>
          <w:sz w:val="32"/>
          <w:szCs w:val="32"/>
          <w:lang w:val="en-US" w:eastAsia="zh-CN"/>
        </w:rPr>
        <w:t>基金安全，根据《国家医保局 最高人民法院 最高人民检察院 公安部 财政部 国家卫生健康委关于开展医保基金违法违规问题专项整治工作的通知》（医保发〔2024〕8号）、《福建省医疗</w:t>
      </w:r>
      <w:r>
        <w:rPr>
          <w:rFonts w:hint="eastAsia" w:ascii="仿宋_GB2312" w:hAnsi="仿宋_GB2312" w:eastAsia="仿宋_GB2312" w:cs="仿宋_GB2312"/>
          <w:color w:val="auto"/>
          <w:sz w:val="32"/>
          <w:szCs w:val="32"/>
          <w:lang w:val="en-US" w:eastAsia="zh-CN"/>
        </w:rPr>
        <w:t>保障局等六部门关于开展医保基金违法违规问题专项整治工作的通知》（闽医保〔2024〕47号）精神，福州市医保局联合市人民法院、市人民检察院、市公安局、市财政局、市卫生健康委在全市范围开展医保</w:t>
      </w:r>
      <w:r>
        <w:rPr>
          <w:rFonts w:hint="eastAsia" w:ascii="仿宋_GB2312" w:hAnsi="仿宋_GB2312" w:eastAsia="仿宋_GB2312" w:cs="仿宋_GB2312"/>
          <w:sz w:val="32"/>
          <w:szCs w:val="32"/>
          <w:lang w:val="en-US" w:eastAsia="zh-CN"/>
        </w:rPr>
        <w:t>基金</w:t>
      </w:r>
      <w:r>
        <w:rPr>
          <w:rFonts w:hint="eastAsia" w:ascii="仿宋_GB2312" w:hAnsi="仿宋_GB2312" w:eastAsia="仿宋_GB2312" w:cs="仿宋_GB2312"/>
          <w:sz w:val="32"/>
          <w:szCs w:val="32"/>
        </w:rPr>
        <w:t>违法违规问题专项整治工作，制定本方案。</w:t>
      </w:r>
    </w:p>
    <w:p w14:paraId="5845ED28">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黑体" w:hAnsi="黑体" w:eastAsia="黑体" w:cs="黑体"/>
          <w:b w:val="0"/>
          <w:bCs/>
          <w:sz w:val="32"/>
          <w:szCs w:val="32"/>
        </w:rPr>
      </w:pPr>
      <w:r>
        <w:rPr>
          <w:rStyle w:val="10"/>
          <w:rFonts w:hint="eastAsia" w:ascii="黑体" w:hAnsi="黑体" w:eastAsia="黑体" w:cs="黑体"/>
          <w:b w:val="0"/>
          <w:bCs/>
          <w:sz w:val="32"/>
          <w:szCs w:val="32"/>
          <w:lang w:val="en-US" w:eastAsia="zh-CN"/>
        </w:rPr>
        <w:t xml:space="preserve">    </w:t>
      </w:r>
      <w:r>
        <w:rPr>
          <w:rStyle w:val="10"/>
          <w:rFonts w:hint="eastAsia" w:ascii="黑体" w:hAnsi="黑体" w:eastAsia="黑体" w:cs="黑体"/>
          <w:b w:val="0"/>
          <w:bCs/>
          <w:sz w:val="32"/>
          <w:szCs w:val="32"/>
        </w:rPr>
        <w:t>一、总体要求</w:t>
      </w:r>
    </w:p>
    <w:p w14:paraId="0BD9D0DD">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以习近平新时代中国特色社会主义思想为指导，全面贯彻落实党的二十大和习近平总书记关于加强医保基金监管的重要指示批示精神，针对医保领域各类违法违规问题深入开展专项整治，重拳打击欺诈骗保</w:t>
      </w:r>
      <w:r>
        <w:rPr>
          <w:rFonts w:hint="eastAsia" w:ascii="仿宋_GB2312" w:hAnsi="仿宋_GB2312" w:eastAsia="仿宋_GB2312" w:cs="仿宋_GB2312"/>
          <w:sz w:val="32"/>
          <w:szCs w:val="32"/>
          <w:lang w:eastAsia="zh-CN"/>
        </w:rPr>
        <w:t>行为</w:t>
      </w:r>
      <w:r>
        <w:rPr>
          <w:rFonts w:hint="eastAsia" w:ascii="仿宋_GB2312" w:hAnsi="仿宋_GB2312" w:eastAsia="仿宋_GB2312" w:cs="仿宋_GB2312"/>
          <w:sz w:val="32"/>
          <w:szCs w:val="32"/>
        </w:rPr>
        <w:t>，举一反三完善长效机制，通过“当下改”和“长久立”相结合，实现查办一案、警示一片、治理一域，推动</w:t>
      </w:r>
      <w:r>
        <w:rPr>
          <w:rFonts w:hint="eastAsia" w:ascii="仿宋_GB2312" w:hAnsi="仿宋_GB2312" w:eastAsia="仿宋_GB2312" w:cs="仿宋_GB2312"/>
          <w:sz w:val="32"/>
          <w:szCs w:val="32"/>
          <w:lang w:eastAsia="zh-CN"/>
        </w:rPr>
        <w:t>全市</w:t>
      </w:r>
      <w:r>
        <w:rPr>
          <w:rFonts w:hint="eastAsia" w:ascii="仿宋_GB2312" w:hAnsi="仿宋_GB2312" w:eastAsia="仿宋_GB2312" w:cs="仿宋_GB2312"/>
          <w:sz w:val="32"/>
          <w:szCs w:val="32"/>
        </w:rPr>
        <w:t>医保基金监管高质量发展迈上新台阶</w:t>
      </w:r>
      <w:r>
        <w:rPr>
          <w:rFonts w:hint="eastAsia" w:ascii="仿宋_GB2312" w:hAnsi="仿宋_GB2312" w:eastAsia="仿宋_GB2312" w:cs="仿宋_GB2312"/>
          <w:sz w:val="32"/>
          <w:szCs w:val="32"/>
          <w:lang w:eastAsia="zh-CN"/>
        </w:rPr>
        <w:t>，促进医药行业健康有序发展，提升人民群众看病就医获得感。</w:t>
      </w:r>
    </w:p>
    <w:p w14:paraId="39F71375">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outlineLvl w:val="9"/>
        <w:rPr>
          <w:rStyle w:val="10"/>
          <w:rFonts w:hint="eastAsia" w:ascii="黑体" w:hAnsi="黑体" w:eastAsia="黑体" w:cs="黑体"/>
          <w:b w:val="0"/>
          <w:bCs/>
          <w:sz w:val="32"/>
          <w:szCs w:val="32"/>
        </w:rPr>
      </w:pPr>
      <w:r>
        <w:rPr>
          <w:rStyle w:val="10"/>
          <w:rFonts w:hint="eastAsia" w:ascii="黑体" w:hAnsi="黑体" w:eastAsia="黑体" w:cs="黑体"/>
          <w:b w:val="0"/>
          <w:bCs/>
          <w:sz w:val="32"/>
          <w:szCs w:val="32"/>
          <w:lang w:val="en-US" w:eastAsia="zh-CN"/>
        </w:rPr>
        <w:t xml:space="preserve">    </w:t>
      </w:r>
      <w:r>
        <w:rPr>
          <w:rStyle w:val="10"/>
          <w:rFonts w:hint="eastAsia" w:ascii="黑体" w:hAnsi="黑体" w:eastAsia="黑体" w:cs="黑体"/>
          <w:b w:val="0"/>
          <w:bCs/>
          <w:sz w:val="32"/>
          <w:szCs w:val="32"/>
        </w:rPr>
        <w:t>二、工作重点</w:t>
      </w:r>
    </w:p>
    <w:p w14:paraId="0B35B837">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（一）聚焦</w:t>
      </w:r>
      <w:r>
        <w:rPr>
          <w:rFonts w:hint="eastAsia" w:ascii="楷体_GB2312" w:hAnsi="楷体_GB2312" w:eastAsia="楷体_GB2312" w:cs="楷体_GB2312"/>
          <w:sz w:val="32"/>
          <w:szCs w:val="32"/>
          <w:lang w:eastAsia="zh-CN"/>
        </w:rPr>
        <w:t>欺诈骗保行为。</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虚假诊疗、虚假购药、倒卖医保药品等欺诈骗保违法犯罪行为，开展严厉打击</w:t>
      </w:r>
      <w:r>
        <w:rPr>
          <w:rFonts w:hint="eastAsia" w:ascii="仿宋_GB2312" w:hAnsi="仿宋_GB2312" w:eastAsia="仿宋_GB2312" w:cs="仿宋_GB2312"/>
          <w:sz w:val="32"/>
          <w:szCs w:val="32"/>
          <w:lang w:val="en" w:eastAsia="zh-CN"/>
        </w:rPr>
        <w:t>，重点打击“头部”</w:t>
      </w:r>
      <w:r>
        <w:rPr>
          <w:rFonts w:hint="eastAsia" w:ascii="仿宋_GB2312" w:hAnsi="仿宋_GB2312" w:eastAsia="仿宋_GB2312" w:cs="仿宋_GB2312"/>
          <w:sz w:val="32"/>
          <w:szCs w:val="32"/>
          <w:lang w:val="en-US" w:eastAsia="zh-CN"/>
        </w:rPr>
        <w:t>异常</w:t>
      </w:r>
      <w:r>
        <w:rPr>
          <w:rFonts w:hint="eastAsia" w:ascii="仿宋_GB2312" w:hAnsi="仿宋_GB2312" w:eastAsia="仿宋_GB2312" w:cs="仿宋_GB2312"/>
          <w:sz w:val="32"/>
          <w:szCs w:val="32"/>
          <w:lang w:val="en" w:eastAsia="zh-CN"/>
        </w:rPr>
        <w:t>定点医疗机构。</w:t>
      </w:r>
    </w:p>
    <w:p w14:paraId="307FD561">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（二）聚焦重点药品耗材。</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医保基金使用金额大、存在异常变化的重点药品耗材，动态监测基金使用情况，重点查处欺诈骗保行为。</w:t>
      </w:r>
    </w:p>
    <w:p w14:paraId="1A1AB9D5">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rPr>
        <w:t>（三）聚焦纠治一体</w:t>
      </w:r>
      <w:r>
        <w:rPr>
          <w:rFonts w:hint="eastAsia" w:ascii="楷体_GB2312" w:hAnsi="楷体_GB2312" w:eastAsia="楷体_GB2312" w:cs="楷体_GB2312"/>
          <w:sz w:val="32"/>
          <w:szCs w:val="32"/>
          <w:lang w:eastAsia="zh-CN"/>
        </w:rPr>
        <w:t>管理。</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国家和省重点关注的</w:t>
      </w:r>
      <w:r>
        <w:rPr>
          <w:rFonts w:hint="eastAsia" w:ascii="仿宋_GB2312" w:hAnsi="仿宋_GB2312" w:eastAsia="仿宋_GB2312" w:cs="仿宋_GB2312"/>
          <w:sz w:val="32"/>
          <w:szCs w:val="32"/>
        </w:rPr>
        <w:t>骨科、血透、心内、检查、检验、康复理疗等领域，</w:t>
      </w:r>
      <w:r>
        <w:rPr>
          <w:rFonts w:hint="eastAsia" w:ascii="仿宋_GB2312" w:hAnsi="仿宋_GB2312" w:eastAsia="仿宋_GB2312" w:cs="仿宋_GB2312"/>
          <w:sz w:val="32"/>
          <w:szCs w:val="32"/>
          <w:lang w:eastAsia="zh-CN"/>
        </w:rPr>
        <w:t>以及我市关注的</w:t>
      </w:r>
      <w:r>
        <w:rPr>
          <w:rFonts w:hint="eastAsia" w:ascii="仿宋_GB2312" w:hAnsi="仿宋_GB2312" w:eastAsia="仿宋_GB2312" w:cs="仿宋_GB2312"/>
          <w:sz w:val="32"/>
          <w:szCs w:val="32"/>
          <w:lang w:val="en-US" w:eastAsia="zh-CN"/>
        </w:rPr>
        <w:t>中医门诊、重症医学、麻醉、肺癌、眼科、胃肠镜等领域，要</w:t>
      </w:r>
      <w:r>
        <w:rPr>
          <w:rFonts w:hint="eastAsia" w:ascii="仿宋_GB2312" w:hAnsi="仿宋_GB2312" w:eastAsia="仿宋_GB2312" w:cs="仿宋_GB2312"/>
          <w:sz w:val="32"/>
          <w:szCs w:val="32"/>
          <w:lang w:eastAsia="zh-CN"/>
        </w:rPr>
        <w:t>督促定点医药机构对标问题清单，全面开展自查自纠，持续推进问题整改。</w:t>
      </w:r>
      <w:r>
        <w:rPr>
          <w:rFonts w:hint="eastAsia" w:ascii="仿宋_GB2312" w:hAnsi="仿宋_GB2312" w:eastAsia="仿宋_GB2312" w:cs="仿宋_GB2312"/>
          <w:sz w:val="32"/>
          <w:szCs w:val="32"/>
          <w:lang w:val="en-US" w:eastAsia="zh-CN"/>
        </w:rPr>
        <w:t>医保部门结合</w:t>
      </w:r>
      <w:r>
        <w:rPr>
          <w:rFonts w:hint="eastAsia" w:ascii="仿宋_GB2312" w:hAnsi="仿宋_GB2312" w:eastAsia="仿宋_GB2312" w:cs="仿宋_GB2312"/>
          <w:sz w:val="32"/>
          <w:szCs w:val="32"/>
          <w:lang w:val="en" w:eastAsia="zh-CN"/>
        </w:rPr>
        <w:t>“大融合”专项检查</w:t>
      </w:r>
      <w:r>
        <w:rPr>
          <w:rFonts w:hint="eastAsia" w:ascii="仿宋_GB2312" w:hAnsi="仿宋_GB2312" w:eastAsia="仿宋_GB2312" w:cs="仿宋_GB2312"/>
          <w:sz w:val="32"/>
          <w:szCs w:val="32"/>
          <w:lang w:val="en-US" w:eastAsia="zh-CN"/>
        </w:rPr>
        <w:t>及机构自查结果</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开展抽查复查。</w:t>
      </w:r>
    </w:p>
    <w:p w14:paraId="267FE10B">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outlineLvl w:val="9"/>
        <w:rPr>
          <w:rStyle w:val="10"/>
          <w:rFonts w:hint="eastAsia" w:ascii="黑体" w:hAnsi="黑体" w:eastAsia="黑体" w:cs="黑体"/>
          <w:b w:val="0"/>
          <w:bCs/>
          <w:sz w:val="32"/>
          <w:szCs w:val="32"/>
        </w:rPr>
      </w:pPr>
      <w:r>
        <w:rPr>
          <w:rStyle w:val="10"/>
          <w:rFonts w:hint="eastAsia" w:ascii="黑体" w:hAnsi="黑体" w:eastAsia="黑体" w:cs="黑体"/>
          <w:b w:val="0"/>
          <w:bCs/>
          <w:sz w:val="32"/>
          <w:szCs w:val="32"/>
          <w:lang w:val="en-US" w:eastAsia="zh-CN"/>
        </w:rPr>
        <w:t xml:space="preserve">    </w:t>
      </w:r>
      <w:r>
        <w:rPr>
          <w:rStyle w:val="10"/>
          <w:rFonts w:hint="eastAsia" w:ascii="黑体" w:hAnsi="黑体" w:eastAsia="黑体" w:cs="黑体"/>
          <w:b w:val="0"/>
          <w:bCs/>
          <w:sz w:val="32"/>
          <w:szCs w:val="32"/>
        </w:rPr>
        <w:t>三、职责分工</w:t>
      </w:r>
    </w:p>
    <w:p w14:paraId="6BECBFF9">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各部门要依职责开展专项整治工作，统筹监管资源，发挥监管合力，确保整治效果。</w:t>
      </w:r>
      <w:r>
        <w:rPr>
          <w:rFonts w:hint="eastAsia" w:ascii="仿宋_GB2312" w:hAnsi="仿宋_GB2312" w:eastAsia="仿宋_GB2312" w:cs="仿宋_GB2312"/>
          <w:b/>
          <w:bCs/>
          <w:i w:val="0"/>
          <w:iCs w:val="0"/>
          <w:sz w:val="32"/>
          <w:szCs w:val="32"/>
        </w:rPr>
        <w:t>医保部门</w:t>
      </w:r>
      <w:r>
        <w:rPr>
          <w:rFonts w:hint="eastAsia" w:ascii="仿宋_GB2312" w:hAnsi="仿宋_GB2312" w:eastAsia="仿宋_GB2312" w:cs="仿宋_GB2312"/>
          <w:sz w:val="32"/>
          <w:szCs w:val="32"/>
        </w:rPr>
        <w:t>负责牵头开展专项整治，查处各类违法违规使用医保基金的行为。</w:t>
      </w:r>
      <w:r>
        <w:rPr>
          <w:rFonts w:hint="eastAsia" w:ascii="仿宋_GB2312" w:hAnsi="仿宋_GB2312" w:eastAsia="仿宋_GB2312" w:cs="仿宋_GB2312"/>
          <w:b/>
          <w:bCs/>
          <w:sz w:val="32"/>
          <w:szCs w:val="32"/>
        </w:rPr>
        <w:t>人民法院</w:t>
      </w:r>
      <w:r>
        <w:rPr>
          <w:rFonts w:hint="eastAsia" w:ascii="仿宋_GB2312" w:hAnsi="仿宋_GB2312" w:eastAsia="仿宋_GB2312" w:cs="仿宋_GB2312"/>
          <w:sz w:val="32"/>
          <w:szCs w:val="32"/>
        </w:rPr>
        <w:t>负责审理各类欺诈骗保犯罪案件，依法惩治医保骗保犯罪。</w:t>
      </w:r>
      <w:r>
        <w:rPr>
          <w:rFonts w:hint="eastAsia" w:ascii="仿宋_GB2312" w:hAnsi="仿宋_GB2312" w:eastAsia="仿宋_GB2312" w:cs="仿宋_GB2312"/>
          <w:b/>
          <w:bCs/>
          <w:sz w:val="32"/>
          <w:szCs w:val="32"/>
        </w:rPr>
        <w:t>检察机关</w:t>
      </w:r>
      <w:r>
        <w:rPr>
          <w:rFonts w:hint="eastAsia" w:ascii="仿宋_GB2312" w:hAnsi="仿宋_GB2312" w:eastAsia="仿宋_GB2312" w:cs="仿宋_GB2312"/>
          <w:sz w:val="32"/>
          <w:szCs w:val="32"/>
        </w:rPr>
        <w:t>负责依法审查逮捕、审查起诉医保骗保犯罪案件，并对相关案件办理实施法律监督，结合专项工作需要，</w:t>
      </w:r>
      <w:r>
        <w:rPr>
          <w:rFonts w:hint="eastAsia" w:ascii="仿宋_GB2312" w:hAnsi="仿宋_GB2312" w:eastAsia="仿宋_GB2312" w:cs="仿宋_GB2312"/>
          <w:sz w:val="32"/>
          <w:szCs w:val="32"/>
          <w:lang w:val="en-US" w:eastAsia="zh-CN"/>
        </w:rPr>
        <w:t>总结提炼</w:t>
      </w:r>
      <w:r>
        <w:rPr>
          <w:rFonts w:hint="eastAsia" w:ascii="仿宋_GB2312" w:hAnsi="仿宋_GB2312" w:eastAsia="仿宋_GB2312" w:cs="仿宋_GB2312"/>
          <w:sz w:val="32"/>
          <w:szCs w:val="32"/>
        </w:rPr>
        <w:t>典型案例指导各地规范办案。</w:t>
      </w:r>
      <w:r>
        <w:rPr>
          <w:rFonts w:hint="eastAsia" w:ascii="仿宋_GB2312" w:hAnsi="仿宋_GB2312" w:eastAsia="仿宋_GB2312" w:cs="仿宋_GB2312"/>
          <w:b/>
          <w:bCs/>
          <w:sz w:val="32"/>
          <w:szCs w:val="32"/>
        </w:rPr>
        <w:t>公安部门</w:t>
      </w:r>
      <w:r>
        <w:rPr>
          <w:rFonts w:hint="eastAsia" w:ascii="仿宋_GB2312" w:hAnsi="仿宋_GB2312" w:eastAsia="仿宋_GB2312" w:cs="仿宋_GB2312"/>
          <w:sz w:val="32"/>
          <w:szCs w:val="32"/>
        </w:rPr>
        <w:t>负责严厉打击各类欺诈骗保犯罪行为，及时接收、调查医保部门移交的涉嫌犯罪线索。</w:t>
      </w:r>
      <w:r>
        <w:rPr>
          <w:rFonts w:hint="eastAsia" w:ascii="仿宋_GB2312" w:hAnsi="仿宋_GB2312" w:eastAsia="仿宋_GB2312" w:cs="仿宋_GB2312"/>
          <w:b/>
          <w:bCs/>
          <w:sz w:val="32"/>
          <w:szCs w:val="32"/>
        </w:rPr>
        <w:t>财政部门</w:t>
      </w:r>
      <w:r>
        <w:rPr>
          <w:rFonts w:hint="eastAsia" w:ascii="仿宋_GB2312" w:hAnsi="仿宋_GB2312" w:eastAsia="仿宋_GB2312" w:cs="仿宋_GB2312"/>
          <w:sz w:val="32"/>
          <w:szCs w:val="32"/>
        </w:rPr>
        <w:t>根据职责对医保基金使用管理情况实施监督并协助查验医疗收费电子票据等工作。</w:t>
      </w:r>
      <w:r>
        <w:rPr>
          <w:rFonts w:hint="eastAsia" w:ascii="仿宋_GB2312" w:hAnsi="仿宋_GB2312" w:eastAsia="仿宋_GB2312" w:cs="仿宋_GB2312"/>
          <w:b/>
          <w:bCs/>
          <w:sz w:val="32"/>
          <w:szCs w:val="32"/>
        </w:rPr>
        <w:t>卫生健康部门</w:t>
      </w:r>
      <w:r>
        <w:rPr>
          <w:rFonts w:hint="eastAsia" w:ascii="仿宋_GB2312" w:hAnsi="仿宋_GB2312" w:eastAsia="仿宋_GB2312" w:cs="仿宋_GB2312"/>
          <w:sz w:val="32"/>
          <w:szCs w:val="32"/>
        </w:rPr>
        <w:t>负责加强医疗机构监管，规范医药服务及收费计费行为，积极处理医保部门移交的涉及医疗行为的线索，并对医疗机构和相关人员的违规问题进行处理。</w:t>
      </w:r>
    </w:p>
    <w:p w14:paraId="662CAECB">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outlineLvl w:val="9"/>
        <w:rPr>
          <w:rStyle w:val="10"/>
          <w:rFonts w:hint="eastAsia" w:ascii="黑体" w:hAnsi="黑体" w:eastAsia="黑体" w:cs="黑体"/>
          <w:b w:val="0"/>
          <w:bCs/>
          <w:sz w:val="32"/>
          <w:szCs w:val="32"/>
        </w:rPr>
      </w:pPr>
      <w:r>
        <w:rPr>
          <w:rStyle w:val="10"/>
          <w:rFonts w:hint="eastAsia" w:ascii="黑体" w:hAnsi="黑体" w:eastAsia="黑体" w:cs="黑体"/>
          <w:b w:val="0"/>
          <w:bCs/>
          <w:sz w:val="32"/>
          <w:szCs w:val="32"/>
          <w:lang w:val="en-US" w:eastAsia="zh-CN"/>
        </w:rPr>
        <w:t xml:space="preserve">    </w:t>
      </w:r>
      <w:r>
        <w:rPr>
          <w:rStyle w:val="10"/>
          <w:rFonts w:hint="eastAsia" w:ascii="黑体" w:hAnsi="黑体" w:eastAsia="黑体" w:cs="黑体"/>
          <w:b w:val="0"/>
          <w:bCs/>
          <w:sz w:val="32"/>
          <w:szCs w:val="32"/>
        </w:rPr>
        <w:t>四、工作举措</w:t>
      </w:r>
    </w:p>
    <w:p w14:paraId="2D6EC3EE">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楷体" w:hAnsi="楷体" w:eastAsia="楷体" w:cs="楷体"/>
          <w:sz w:val="32"/>
          <w:szCs w:val="32"/>
          <w:lang w:eastAsia="zh-CN"/>
        </w:rPr>
        <w:t>加强组织领导，夯实监管责任。</w:t>
      </w:r>
      <w:r>
        <w:rPr>
          <w:rFonts w:hint="eastAsia" w:ascii="仿宋_GB2312" w:hAnsi="仿宋_GB2312" w:eastAsia="仿宋_GB2312" w:cs="仿宋_GB2312"/>
          <w:sz w:val="32"/>
          <w:szCs w:val="32"/>
          <w:lang w:eastAsia="zh-CN"/>
        </w:rPr>
        <w:t>成立专项整治领导小组，要求各单位严肃工作纪律，严格遵守安全、保密、廉洁等各项规定，明确整治重点，细化责任分工，依法履职尽责。</w:t>
      </w:r>
    </w:p>
    <w:p w14:paraId="496294BB">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 xml:space="preserve">    （二）</w:t>
      </w:r>
      <w:r>
        <w:rPr>
          <w:rFonts w:hint="eastAsia" w:ascii="楷体_GB2312" w:hAnsi="楷体_GB2312" w:eastAsia="楷体_GB2312" w:cs="楷体_GB2312"/>
          <w:sz w:val="32"/>
          <w:szCs w:val="32"/>
          <w:lang w:eastAsia="zh-CN"/>
        </w:rPr>
        <w:t>坚持宽严相济，依法分类处置。</w:t>
      </w:r>
      <w:r>
        <w:rPr>
          <w:rFonts w:hint="eastAsia" w:ascii="仿宋_GB2312" w:hAnsi="仿宋_GB2312" w:eastAsia="仿宋_GB2312" w:cs="仿宋_GB2312"/>
          <w:sz w:val="32"/>
          <w:szCs w:val="32"/>
        </w:rPr>
        <w:t>对欺诈骗保等违法犯罪行为，始终保持高压态势，重点打击在犯罪中起组织、指使、教唆等主要作用的幕后组织者、职业骗保人等。对一般违法违规问题，注重加强协议处理与行政处罚相衔接，持续推进问题整改。</w:t>
      </w:r>
    </w:p>
    <w:p w14:paraId="4B043294">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医保部门要坚持问题导向，压实医药机构主体责任，督促引导定点医药机构对照国家、省、市医保局下发的重点领域问题清单开展自查自纠。市内交叉检查、专项检查要将既往重点领域作为检查重点，对自查自纠整改不到位或者屡查屡犯的，要依法依规从严处置。</w:t>
      </w:r>
    </w:p>
    <w:p w14:paraId="5C1D23E7">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强化数据赋能，</w:t>
      </w:r>
      <w:r>
        <w:rPr>
          <w:rFonts w:hint="eastAsia" w:ascii="楷体_GB2312" w:hAnsi="楷体_GB2312" w:eastAsia="楷体_GB2312" w:cs="楷体_GB2312"/>
          <w:sz w:val="32"/>
          <w:szCs w:val="32"/>
          <w:lang w:val="en-US" w:eastAsia="zh-CN"/>
        </w:rPr>
        <w:t>推进精准监管</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lang w:val="en-US" w:eastAsia="zh-CN"/>
        </w:rPr>
        <w:t>依托全省统一的医保信息平台，发挥好已验证有效的大数据模型的作用，快速识别、精准锁定疑点线索，并实现常态化筛查。强化医院端事前提醒、经办端事中审核、行政端事后监管，构筑全流程、全领域、全链条的大数据监管防线。结合医保反欺诈大数据监管应用试点工作，探索运用视频监控、人卡核验、药品溯源等信息技术手段，实现线索发现、调查取证、违规处理和结果应用等监管环节线上线下相结合，形成全流程闭环管理，大力提升医保监管效能。同时，</w:t>
      </w:r>
      <w:r>
        <w:rPr>
          <w:rFonts w:hint="eastAsia" w:ascii="仿宋_GB2312" w:hAnsi="仿宋_GB2312" w:eastAsia="仿宋_GB2312" w:cs="仿宋_GB2312"/>
          <w:sz w:val="32"/>
          <w:szCs w:val="32"/>
        </w:rPr>
        <w:t>总结提升现场检查等传统监管方式，用好检查指南和典型案例，提高监管法治化、规范化、专业化水平。</w:t>
      </w:r>
    </w:p>
    <w:p w14:paraId="17C6E079">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eastAsia="仿宋_GB2312" w:cs="宋体"/>
          <w:b/>
          <w:bCs/>
          <w:sz w:val="32"/>
          <w:szCs w:val="32"/>
          <w:highlight w:val="none"/>
          <w:u w:val="none"/>
          <w:lang w:val="en-US" w:eastAsia="zh-CN"/>
        </w:rPr>
        <w:t xml:space="preserve"> </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eastAsia="zh-CN"/>
        </w:rPr>
        <w:t>强化</w:t>
      </w:r>
      <w:r>
        <w:rPr>
          <w:rFonts w:hint="eastAsia" w:ascii="楷体_GB2312" w:hAnsi="楷体_GB2312" w:eastAsia="楷体_GB2312" w:cs="楷体_GB2312"/>
          <w:sz w:val="32"/>
          <w:szCs w:val="32"/>
        </w:rPr>
        <w:t>部门协同，发挥监管合力。</w:t>
      </w:r>
      <w:r>
        <w:rPr>
          <w:rFonts w:hint="eastAsia" w:ascii="仿宋_GB2312" w:hAnsi="仿宋_GB2312" w:eastAsia="仿宋_GB2312" w:cs="仿宋_GB2312"/>
          <w:sz w:val="32"/>
          <w:szCs w:val="32"/>
          <w:lang w:val="en-US" w:eastAsia="zh-CN"/>
        </w:rPr>
        <w:t>各级医保部门、人民法院、人民检察院、公安部门要认真贯彻落实最高人民法院、最高人民检察院、公安部联合印发的《关于办理医保骗保刑事案件若干问题的指导意见》，加强沟通会商，共同研究打击整治欺诈骗保实践疑难问题，发布典型案例，强化以案释法。各级医保部门要持续健全与人民检察院、公安部门的数据共享、线索互移、联查联办机制，同步提升刑事打击和行政查处效能，推动行政执法与刑事司法双向衔接。联合财政部门查验医疗收费电子票据，合力落实举报奖励制度。与卫生健康部门建立线索移送机制，对涉及的医疗规范问题等，从前端加大监管力度。各部门要加强与纪检监察部门的衔接配合，积极移交涉嫌腐败相关问题线索。有关部门要把医药领域腐败问题集中整治与专项整治一体谋划、一体部署、一体推进。</w:t>
      </w:r>
    </w:p>
    <w:p w14:paraId="45A0EB33">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42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val="en-US" w:eastAsia="zh-CN"/>
        </w:rPr>
        <w:t>（五）坚持上下联动，用好线索核查。</w:t>
      </w:r>
      <w:r>
        <w:rPr>
          <w:rFonts w:hint="eastAsia" w:ascii="仿宋_GB2312" w:hAnsi="仿宋_GB2312" w:eastAsia="仿宋_GB2312" w:cs="仿宋_GB2312"/>
          <w:sz w:val="32"/>
          <w:szCs w:val="32"/>
          <w:lang w:val="en-US" w:eastAsia="zh-CN"/>
        </w:rPr>
        <w:t>全市各级医保部门要同向发力，采取</w:t>
      </w:r>
      <w:r>
        <w:rPr>
          <w:rFonts w:hint="eastAsia" w:ascii="仿宋_GB2312" w:hAnsi="仿宋_GB2312" w:eastAsia="仿宋_GB2312" w:cs="仿宋_GB2312"/>
          <w:color w:val="auto"/>
          <w:sz w:val="32"/>
          <w:szCs w:val="32"/>
          <w:highlight w:val="none"/>
          <w:lang w:val="en-US" w:eastAsia="zh-CN"/>
        </w:rPr>
        <w:t>“以上查下、交叉检查”</w:t>
      </w:r>
      <w:r>
        <w:rPr>
          <w:rFonts w:hint="eastAsia" w:ascii="仿宋_GB2312" w:hAnsi="仿宋_GB2312" w:eastAsia="仿宋_GB2312" w:cs="仿宋_GB2312"/>
          <w:sz w:val="32"/>
          <w:szCs w:val="32"/>
          <w:lang w:val="en-US" w:eastAsia="zh-CN"/>
        </w:rPr>
        <w:t xml:space="preserve">的方式，将专项整治内容纳入全覆盖检查、抽查复查、专项检查等各类检查工作中。要高度重视国家及省、市医保局下发的疑点线索，逐条开展核查，确保线索清仓见底。对被多次投诉举报的定点医药机构，市医保局将视情况纳入专项检查范围。对屡次出现在疑点线索名单中的医药机构或参保人，要加密检查频次。    </w:t>
      </w:r>
    </w:p>
    <w:p w14:paraId="02402DB1">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val="en-US" w:eastAsia="zh-CN"/>
        </w:rPr>
        <w:t>（六）健全长效机制，注重总结提升。</w:t>
      </w:r>
      <w:r>
        <w:rPr>
          <w:rFonts w:hint="eastAsia" w:ascii="仿宋_GB2312" w:hAnsi="仿宋_GB2312" w:eastAsia="仿宋_GB2312" w:cs="仿宋_GB2312"/>
          <w:sz w:val="32"/>
          <w:szCs w:val="32"/>
          <w:lang w:val="en-US" w:eastAsia="zh-CN"/>
        </w:rPr>
        <w:t>把整治工作与完善医保基金监管制度机制结合起来，各级人民法院、人民检察院、公安部门要发挥“两书一函”作用，深入查找并逐步解决医保基金监管制度机制短板和薄弱环节，健全防范欺诈骗保长效机制。各级医保部门要结合专项整治工作重点及进展，梳理总结典型经验，提升基金监管查案破题的能力。</w:t>
      </w:r>
    </w:p>
    <w:p w14:paraId="3101C82A">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outlineLvl w:val="9"/>
        <w:rPr>
          <w:rStyle w:val="10"/>
          <w:rFonts w:hint="eastAsia" w:ascii="黑体" w:hAnsi="黑体" w:eastAsia="黑体" w:cs="黑体"/>
          <w:b w:val="0"/>
          <w:bCs/>
          <w:sz w:val="32"/>
          <w:szCs w:val="32"/>
        </w:rPr>
      </w:pPr>
      <w:r>
        <w:rPr>
          <w:rStyle w:val="10"/>
          <w:rFonts w:hint="eastAsia" w:ascii="黑体" w:hAnsi="黑体" w:eastAsia="黑体" w:cs="黑体"/>
          <w:b w:val="0"/>
          <w:bCs/>
          <w:sz w:val="32"/>
          <w:szCs w:val="32"/>
          <w:lang w:val="en-US" w:eastAsia="zh-CN"/>
        </w:rPr>
        <w:t xml:space="preserve">    </w:t>
      </w:r>
      <w:r>
        <w:rPr>
          <w:rStyle w:val="10"/>
          <w:rFonts w:hint="eastAsia" w:ascii="黑体" w:hAnsi="黑体" w:eastAsia="黑体" w:cs="黑体"/>
          <w:b w:val="0"/>
          <w:bCs/>
          <w:sz w:val="32"/>
          <w:szCs w:val="32"/>
        </w:rPr>
        <w:t>五、工作安排</w:t>
      </w:r>
    </w:p>
    <w:p w14:paraId="069F9F87">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val="en-US" w:eastAsia="zh-CN"/>
        </w:rPr>
        <w:t xml:space="preserve">   （一）启动部署。</w:t>
      </w:r>
      <w:r>
        <w:rPr>
          <w:rFonts w:hint="eastAsia" w:ascii="仿宋_GB2312" w:hAnsi="仿宋_GB2312" w:eastAsia="仿宋_GB2312" w:cs="仿宋_GB2312"/>
          <w:sz w:val="32"/>
          <w:szCs w:val="32"/>
          <w:lang w:val="en-US" w:eastAsia="zh-CN"/>
        </w:rPr>
        <w:t>六部门联合召开2024年医保基金违法违规问题专项整治工作会议，对整治工作进行动员部署。（2024年5月完成）</w:t>
      </w:r>
    </w:p>
    <w:p w14:paraId="01C6E53A">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val="en-US" w:eastAsia="zh-CN"/>
        </w:rPr>
        <w:t xml:space="preserve">  （二）自查自纠。</w:t>
      </w:r>
      <w:r>
        <w:rPr>
          <w:rFonts w:hint="eastAsia" w:ascii="仿宋_GB2312" w:hAnsi="仿宋_GB2312" w:eastAsia="仿宋_GB2312" w:cs="仿宋_GB2312"/>
          <w:sz w:val="32"/>
          <w:szCs w:val="32"/>
          <w:lang w:val="en-US" w:eastAsia="zh-CN"/>
        </w:rPr>
        <w:t>督促定点医药机构对标问题清单开展排查，全面排查自《医疗保障基金使用</w:t>
      </w:r>
      <w:bookmarkStart w:id="0" w:name="_GoBack"/>
      <w:bookmarkEnd w:id="0"/>
      <w:r>
        <w:rPr>
          <w:rFonts w:hint="eastAsia" w:ascii="仿宋_GB2312" w:hAnsi="仿宋_GB2312" w:eastAsia="仿宋_GB2312" w:cs="仿宋_GB2312"/>
          <w:sz w:val="32"/>
          <w:szCs w:val="32"/>
          <w:lang w:val="en-US" w:eastAsia="zh-CN"/>
        </w:rPr>
        <w:t>监督管理条例》实施以来发生的所有医疗服务行为及医疗服务费用，并立行立改。（2024年5月完成）</w:t>
      </w:r>
    </w:p>
    <w:p w14:paraId="7850C373">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    （三）集中整治。</w:t>
      </w:r>
      <w:r>
        <w:rPr>
          <w:rFonts w:hint="eastAsia" w:ascii="仿宋_GB2312" w:hAnsi="仿宋_GB2312" w:eastAsia="仿宋_GB2312" w:cs="仿宋_GB2312"/>
          <w:sz w:val="32"/>
          <w:szCs w:val="32"/>
          <w:lang w:val="en-US" w:eastAsia="zh-CN"/>
        </w:rPr>
        <w:t>聚焦工作重点，开展联合整治，确保专项整治工作取得实效。（2024年11月完成）</w:t>
      </w:r>
    </w:p>
    <w:p w14:paraId="5DF82225">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val="en-US" w:eastAsia="zh-CN"/>
        </w:rPr>
        <w:t xml:space="preserve">  （四）总结上报。</w:t>
      </w:r>
      <w:r>
        <w:rPr>
          <w:rFonts w:hint="eastAsia" w:ascii="仿宋_GB2312" w:hAnsi="仿宋_GB2312" w:eastAsia="仿宋_GB2312" w:cs="仿宋_GB2312"/>
          <w:sz w:val="32"/>
          <w:szCs w:val="32"/>
          <w:lang w:val="en-US" w:eastAsia="zh-CN"/>
        </w:rPr>
        <w:t>各县（市）区医保部门要及时梳理专项整治进展情况，分析典型案例，加强经验总结并形成书面报告上报专项整治工作情况。（2024年12月10日完成）</w:t>
      </w:r>
    </w:p>
    <w:p w14:paraId="0855222E">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outlineLvl w:val="9"/>
        <w:rPr>
          <w:rStyle w:val="10"/>
          <w:rFonts w:hint="eastAsia" w:ascii="黑体" w:hAnsi="黑体" w:eastAsia="黑体" w:cs="黑体"/>
          <w:b w:val="0"/>
          <w:bCs/>
          <w:sz w:val="32"/>
          <w:szCs w:val="32"/>
        </w:rPr>
      </w:pPr>
      <w:r>
        <w:rPr>
          <w:rStyle w:val="10"/>
          <w:rFonts w:hint="eastAsia" w:ascii="黑体" w:hAnsi="黑体" w:eastAsia="黑体" w:cs="黑体"/>
          <w:b w:val="0"/>
          <w:bCs/>
          <w:sz w:val="32"/>
          <w:szCs w:val="32"/>
          <w:lang w:val="en-US" w:eastAsia="zh-CN"/>
        </w:rPr>
        <w:t xml:space="preserve">    </w:t>
      </w:r>
      <w:r>
        <w:rPr>
          <w:rStyle w:val="10"/>
          <w:rFonts w:hint="eastAsia" w:ascii="黑体" w:hAnsi="黑体" w:eastAsia="黑体" w:cs="黑体"/>
          <w:b w:val="0"/>
          <w:bCs/>
          <w:sz w:val="32"/>
          <w:szCs w:val="32"/>
        </w:rPr>
        <w:t>六、工作要求</w:t>
      </w:r>
    </w:p>
    <w:p w14:paraId="5EBEFC7E">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各级医疗保障、人民法院、检察机关、公安、财政、卫生健康部门要加强组织领导，严守纪律规矩，严格规范执法，忠实履职尽责。要加强宣传引导，要加大面向定点医药机构的典型案件内部通报力度，强化对高发频发违法违规行为的警示教育和震慑作用。建立舆情应对机制,做好舆情风险评估,制定舆情应对预案,对有重大舆情风险的要及时处置并上报。</w:t>
      </w:r>
    </w:p>
    <w:p w14:paraId="57F69FC2">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outlineLvl w:val="9"/>
        <w:rPr>
          <w:rFonts w:hint="eastAsia" w:ascii="仿宋_GB2312" w:hAnsi="仿宋_GB2312" w:eastAsia="仿宋_GB2312" w:cs="仿宋_GB2312"/>
          <w:sz w:val="32"/>
          <w:szCs w:val="32"/>
          <w:lang w:val="en-US" w:eastAsia="zh-CN"/>
        </w:rPr>
      </w:pPr>
    </w:p>
    <w:p w14:paraId="6FAC60FC">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附件:福州市医保基金违法违规问题专项整治领导小组</w:t>
      </w:r>
    </w:p>
    <w:p w14:paraId="59472613">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textAlignment w:val="auto"/>
        <w:rPr>
          <w:rFonts w:hint="default" w:ascii="仿宋_GB2312" w:hAnsi="仿宋_GB2312" w:eastAsia="仿宋_GB2312" w:cs="仿宋_GB2312"/>
          <w:sz w:val="32"/>
          <w:szCs w:val="32"/>
          <w:lang w:val="en-US" w:eastAsia="zh-CN"/>
        </w:rPr>
      </w:pPr>
    </w:p>
    <w:p w14:paraId="65E0B81F">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textAlignment w:val="auto"/>
        <w:rPr>
          <w:rFonts w:hint="default" w:ascii="仿宋_GB2312" w:hAnsi="仿宋_GB2312" w:eastAsia="仿宋_GB2312" w:cs="仿宋_GB2312"/>
          <w:sz w:val="32"/>
          <w:szCs w:val="32"/>
          <w:lang w:val="en-US" w:eastAsia="zh-CN"/>
        </w:rPr>
      </w:pPr>
    </w:p>
    <w:p w14:paraId="1A8118EC">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textAlignment w:val="auto"/>
        <w:rPr>
          <w:rFonts w:hint="default" w:ascii="仿宋_GB2312" w:hAnsi="仿宋_GB2312" w:eastAsia="仿宋_GB2312" w:cs="仿宋_GB2312"/>
          <w:sz w:val="32"/>
          <w:szCs w:val="32"/>
          <w:lang w:val="en-US" w:eastAsia="zh-CN"/>
        </w:rPr>
      </w:pPr>
    </w:p>
    <w:p w14:paraId="570D8295">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textAlignment w:val="auto"/>
        <w:rPr>
          <w:rFonts w:hint="default" w:ascii="仿宋_GB2312" w:hAnsi="仿宋_GB2312" w:eastAsia="仿宋_GB2312" w:cs="仿宋_GB2312"/>
          <w:sz w:val="32"/>
          <w:szCs w:val="32"/>
          <w:lang w:val="en-US" w:eastAsia="zh-CN"/>
        </w:rPr>
      </w:pPr>
    </w:p>
    <w:p w14:paraId="13A821D8">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textAlignment w:val="auto"/>
        <w:rPr>
          <w:rFonts w:hint="default" w:ascii="仿宋_GB2312" w:hAnsi="仿宋_GB2312" w:eastAsia="仿宋_GB2312" w:cs="仿宋_GB2312"/>
          <w:sz w:val="32"/>
          <w:szCs w:val="32"/>
          <w:lang w:val="en-US" w:eastAsia="zh-CN"/>
        </w:rPr>
      </w:pPr>
    </w:p>
    <w:p w14:paraId="1A06E925">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textAlignment w:val="auto"/>
        <w:rPr>
          <w:rFonts w:hint="default" w:ascii="仿宋_GB2312" w:hAnsi="仿宋_GB2312" w:eastAsia="仿宋_GB2312" w:cs="仿宋_GB2312"/>
          <w:sz w:val="32"/>
          <w:szCs w:val="32"/>
          <w:lang w:val="en-US" w:eastAsia="zh-CN"/>
        </w:rPr>
      </w:pPr>
    </w:p>
    <w:p w14:paraId="60A7BADA">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textAlignment w:val="auto"/>
        <w:rPr>
          <w:rFonts w:hint="default" w:ascii="仿宋_GB2312" w:hAnsi="仿宋_GB2312" w:eastAsia="仿宋_GB2312" w:cs="仿宋_GB2312"/>
          <w:sz w:val="32"/>
          <w:szCs w:val="32"/>
          <w:lang w:val="en-US" w:eastAsia="zh-CN"/>
        </w:rPr>
      </w:pPr>
    </w:p>
    <w:p w14:paraId="61B593E6">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textAlignment w:val="auto"/>
        <w:rPr>
          <w:rFonts w:hint="default" w:ascii="仿宋_GB2312" w:hAnsi="仿宋_GB2312" w:eastAsia="仿宋_GB2312" w:cs="仿宋_GB2312"/>
          <w:sz w:val="32"/>
          <w:szCs w:val="32"/>
          <w:lang w:val="en-US" w:eastAsia="zh-CN"/>
        </w:rPr>
      </w:pPr>
    </w:p>
    <w:p w14:paraId="1B828FC3">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textAlignment w:val="auto"/>
        <w:rPr>
          <w:rFonts w:hint="default" w:ascii="仿宋_GB2312" w:hAnsi="仿宋_GB2312" w:eastAsia="仿宋_GB2312" w:cs="仿宋_GB2312"/>
          <w:sz w:val="32"/>
          <w:szCs w:val="32"/>
          <w:lang w:val="en-US" w:eastAsia="zh-CN"/>
        </w:rPr>
      </w:pPr>
    </w:p>
    <w:p w14:paraId="7BBEDA14">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textAlignment w:val="auto"/>
        <w:rPr>
          <w:rFonts w:hint="default" w:ascii="仿宋_GB2312" w:hAnsi="仿宋_GB2312" w:eastAsia="仿宋_GB2312" w:cs="仿宋_GB2312"/>
          <w:sz w:val="32"/>
          <w:szCs w:val="32"/>
          <w:lang w:val="en-US" w:eastAsia="zh-CN"/>
        </w:rPr>
      </w:pPr>
    </w:p>
    <w:p w14:paraId="5AE202F1">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textAlignment w:val="auto"/>
        <w:rPr>
          <w:rFonts w:hint="default" w:ascii="仿宋_GB2312" w:hAnsi="仿宋_GB2312" w:eastAsia="仿宋_GB2312" w:cs="仿宋_GB2312"/>
          <w:sz w:val="32"/>
          <w:szCs w:val="32"/>
          <w:lang w:val="en-US" w:eastAsia="zh-CN"/>
        </w:rPr>
      </w:pPr>
    </w:p>
    <w:p w14:paraId="3363449E">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textAlignment w:val="auto"/>
        <w:rPr>
          <w:rFonts w:hint="default" w:ascii="仿宋_GB2312" w:hAnsi="仿宋_GB2312" w:eastAsia="仿宋_GB2312" w:cs="仿宋_GB2312"/>
          <w:sz w:val="32"/>
          <w:szCs w:val="32"/>
          <w:lang w:val="en-US" w:eastAsia="zh-CN"/>
        </w:rPr>
      </w:pPr>
    </w:p>
    <w:p w14:paraId="7EDEEB12">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textAlignment w:val="auto"/>
        <w:rPr>
          <w:rFonts w:hint="default" w:ascii="仿宋_GB2312" w:hAnsi="仿宋_GB2312" w:eastAsia="仿宋_GB2312" w:cs="仿宋_GB2312"/>
          <w:sz w:val="32"/>
          <w:szCs w:val="32"/>
          <w:lang w:val="en-US" w:eastAsia="zh-CN"/>
        </w:rPr>
      </w:pPr>
    </w:p>
    <w:p w14:paraId="5761E9FB">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textAlignment w:val="auto"/>
        <w:rPr>
          <w:rFonts w:hint="default" w:ascii="仿宋_GB2312" w:hAnsi="仿宋_GB2312" w:eastAsia="仿宋_GB2312" w:cs="仿宋_GB2312"/>
          <w:sz w:val="32"/>
          <w:szCs w:val="32"/>
          <w:lang w:val="en-US" w:eastAsia="zh-CN"/>
        </w:rPr>
      </w:pPr>
    </w:p>
    <w:p w14:paraId="4E0D2992">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textAlignment w:val="auto"/>
        <w:rPr>
          <w:rFonts w:hint="default" w:ascii="仿宋_GB2312" w:hAnsi="仿宋_GB2312" w:eastAsia="仿宋_GB2312" w:cs="仿宋_GB2312"/>
          <w:sz w:val="32"/>
          <w:szCs w:val="32"/>
          <w:lang w:val="en-US" w:eastAsia="zh-CN"/>
        </w:rPr>
      </w:pPr>
    </w:p>
    <w:p w14:paraId="5B0EAED2">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textAlignment w:val="auto"/>
        <w:rPr>
          <w:rFonts w:hint="default" w:ascii="仿宋_GB2312" w:hAnsi="仿宋_GB2312" w:eastAsia="仿宋_GB2312" w:cs="仿宋_GB2312"/>
          <w:sz w:val="32"/>
          <w:szCs w:val="32"/>
          <w:lang w:val="en-US" w:eastAsia="zh-CN"/>
        </w:rPr>
      </w:pPr>
    </w:p>
    <w:p w14:paraId="1CA917C0">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5E81DCEF">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textAlignment w:val="auto"/>
        <w:rPr>
          <w:rFonts w:hint="eastAsia" w:ascii="方正小标宋简体" w:hAnsi="方正小标宋简体" w:eastAsia="方正小标宋简体" w:cs="方正小标宋简体"/>
          <w:sz w:val="36"/>
          <w:szCs w:val="36"/>
          <w:lang w:val="en-US" w:eastAsia="zh-CN"/>
        </w:rPr>
      </w:pPr>
    </w:p>
    <w:p w14:paraId="2F1C1607">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福州市医保基金违法违规问题专项整治领导小组</w:t>
      </w:r>
    </w:p>
    <w:p w14:paraId="004B38A5">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textAlignment w:val="auto"/>
        <w:rPr>
          <w:rFonts w:hint="eastAsia" w:ascii="方正小标宋简体" w:hAnsi="方正小标宋简体" w:eastAsia="方正小标宋简体" w:cs="方正小标宋简体"/>
          <w:sz w:val="36"/>
          <w:szCs w:val="36"/>
          <w:lang w:val="en-US" w:eastAsia="zh-CN"/>
        </w:rPr>
      </w:pPr>
    </w:p>
    <w:p w14:paraId="2902D099">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28"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组  长：</w:t>
      </w:r>
    </w:p>
    <w:p w14:paraId="6F86D7C9">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28"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叶  玲  福州市医疗保障局局长</w:t>
      </w:r>
    </w:p>
    <w:p w14:paraId="66C9D342">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28"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副组长</w:t>
      </w:r>
      <w:r>
        <w:rPr>
          <w:rFonts w:hint="eastAsia" w:ascii="楷体_GB2312" w:hAnsi="楷体_GB2312" w:eastAsia="楷体_GB2312" w:cs="楷体_GB2312"/>
          <w:sz w:val="32"/>
          <w:szCs w:val="32"/>
          <w:lang w:val="en-US" w:eastAsia="zh-CN"/>
        </w:rPr>
        <w:t>：</w:t>
      </w:r>
    </w:p>
    <w:p w14:paraId="7091A07A">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郑  毅  福州市医疗保障局党组成员、副局长 </w:t>
      </w:r>
    </w:p>
    <w:p w14:paraId="6D48B4B3">
      <w:pPr>
        <w:keepNext w:val="0"/>
        <w:keepLines w:val="0"/>
        <w:pageBreakBefore w:val="0"/>
        <w:widowControl w:val="0"/>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陈  平  </w:t>
      </w:r>
      <w:r>
        <w:rPr>
          <w:rFonts w:hint="eastAsia" w:ascii="仿宋_GB2312" w:hAnsi="仿宋_GB2312" w:eastAsia="仿宋_GB2312" w:cs="仿宋_GB2312"/>
          <w:kern w:val="0"/>
          <w:sz w:val="32"/>
          <w:szCs w:val="32"/>
          <w:lang w:val="en-US" w:eastAsia="zh-CN" w:bidi="ar"/>
        </w:rPr>
        <w:t xml:space="preserve">福州市中级人民法院党组成员、副院长 </w:t>
      </w:r>
    </w:p>
    <w:p w14:paraId="5B5076E9">
      <w:pPr>
        <w:keepNext w:val="0"/>
        <w:keepLines w:val="0"/>
        <w:pageBreakBefore w:val="0"/>
        <w:widowControl w:val="0"/>
        <w:suppressLineNumbers w:val="0"/>
        <w:kinsoku/>
        <w:wordWrap/>
        <w:overflowPunct/>
        <w:topLinePunct w:val="0"/>
        <w:autoSpaceDE/>
        <w:autoSpaceDN/>
        <w:bidi w:val="0"/>
        <w:adjustRightInd/>
        <w:snapToGrid/>
        <w:spacing w:line="560" w:lineRule="exact"/>
        <w:ind w:firstLine="604"/>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余深画  福州市人民检察院党组</w:t>
      </w:r>
      <w:r>
        <w:rPr>
          <w:rFonts w:hint="eastAsia" w:ascii="仿宋_GB2312" w:hAnsi="仿宋_GB2312" w:cs="仿宋_GB2312"/>
          <w:kern w:val="0"/>
          <w:sz w:val="32"/>
          <w:szCs w:val="32"/>
          <w:lang w:val="en-US" w:eastAsia="zh-CN" w:bidi="ar"/>
        </w:rPr>
        <w:t>副书记</w:t>
      </w:r>
      <w:r>
        <w:rPr>
          <w:rFonts w:hint="eastAsia" w:ascii="仿宋_GB2312" w:hAnsi="仿宋_GB2312" w:eastAsia="仿宋_GB2312" w:cs="仿宋_GB2312"/>
          <w:kern w:val="0"/>
          <w:sz w:val="32"/>
          <w:szCs w:val="32"/>
          <w:lang w:val="en-US" w:eastAsia="zh-CN" w:bidi="ar"/>
        </w:rPr>
        <w:t>、</w:t>
      </w:r>
      <w:r>
        <w:rPr>
          <w:rFonts w:hint="eastAsia" w:ascii="仿宋_GB2312" w:hAnsi="仿宋_GB2312" w:cs="仿宋_GB2312"/>
          <w:kern w:val="0"/>
          <w:sz w:val="32"/>
          <w:szCs w:val="32"/>
          <w:lang w:val="en-US" w:eastAsia="zh-CN" w:bidi="ar"/>
        </w:rPr>
        <w:t>分管日常工作的</w:t>
      </w:r>
      <w:r>
        <w:rPr>
          <w:rFonts w:hint="eastAsia" w:ascii="仿宋_GB2312" w:hAnsi="仿宋_GB2312" w:eastAsia="仿宋_GB2312" w:cs="仿宋_GB2312"/>
          <w:kern w:val="0"/>
          <w:sz w:val="32"/>
          <w:szCs w:val="32"/>
          <w:lang w:val="en-US" w:eastAsia="zh-CN" w:bidi="ar"/>
        </w:rPr>
        <w:t>副</w:t>
      </w:r>
    </w:p>
    <w:p w14:paraId="55CF0EB1">
      <w:pPr>
        <w:keepNext w:val="0"/>
        <w:keepLines w:val="0"/>
        <w:pageBreakBefore w:val="0"/>
        <w:widowControl w:val="0"/>
        <w:suppressLineNumbers w:val="0"/>
        <w:kinsoku/>
        <w:wordWrap/>
        <w:overflowPunct/>
        <w:topLinePunct w:val="0"/>
        <w:autoSpaceDE/>
        <w:autoSpaceDN/>
        <w:bidi w:val="0"/>
        <w:adjustRightInd/>
        <w:snapToGrid/>
        <w:spacing w:line="560" w:lineRule="exact"/>
        <w:ind w:firstLine="1870" w:firstLineChars="596"/>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检察长             </w:t>
      </w:r>
    </w:p>
    <w:p w14:paraId="1F8A6ACD">
      <w:pPr>
        <w:keepNext w:val="0"/>
        <w:keepLines w:val="0"/>
        <w:pageBreakBefore w:val="0"/>
        <w:widowControl w:val="0"/>
        <w:suppressLineNumbers w:val="0"/>
        <w:kinsoku/>
        <w:wordWrap/>
        <w:overflowPunct/>
        <w:topLinePunct w:val="0"/>
        <w:autoSpaceDE/>
        <w:autoSpaceDN/>
        <w:bidi w:val="0"/>
        <w:adjustRightInd/>
        <w:snapToGrid/>
        <w:spacing w:line="560" w:lineRule="exact"/>
        <w:ind w:firstLine="628"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陈武成  福州市公安局党委委员、副局长</w:t>
      </w:r>
    </w:p>
    <w:p w14:paraId="4BCB09CA">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    张文裕  福州市财政局党组成员、副局长           </w:t>
      </w:r>
    </w:p>
    <w:p w14:paraId="0311983B">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28"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林  实  福州市卫生健康委员会副主任 </w:t>
      </w:r>
    </w:p>
    <w:p w14:paraId="578994EC">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28"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成  员：</w:t>
      </w:r>
    </w:p>
    <w:p w14:paraId="62AE5133">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28"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林小洪  福州市医疗保障局稽查稽核处处长</w:t>
      </w:r>
    </w:p>
    <w:p w14:paraId="3C98BF6D">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28" w:firstLineChars="200"/>
        <w:jc w:val="left"/>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sz w:val="32"/>
          <w:szCs w:val="32"/>
          <w:lang w:val="en-US" w:eastAsia="zh-CN"/>
        </w:rPr>
        <w:t xml:space="preserve">董  昆  </w:t>
      </w:r>
      <w:r>
        <w:rPr>
          <w:rFonts w:hint="eastAsia" w:ascii="仿宋_GB2312" w:hAnsi="仿宋_GB2312" w:eastAsia="仿宋_GB2312" w:cs="仿宋_GB2312"/>
          <w:kern w:val="0"/>
          <w:sz w:val="32"/>
          <w:szCs w:val="32"/>
          <w:lang w:val="en-US" w:eastAsia="zh-CN" w:bidi="ar"/>
        </w:rPr>
        <w:t>福州市中级人民法院刑一庭副庭长</w:t>
      </w:r>
    </w:p>
    <w:p w14:paraId="566704E1">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28" w:firstLineChars="200"/>
        <w:jc w:val="left"/>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袁卫东  福</w:t>
      </w:r>
      <w:r>
        <w:rPr>
          <w:rFonts w:hint="eastAsia" w:ascii="仿宋_GB2312" w:hAnsi="仿宋_GB2312" w:eastAsia="仿宋_GB2312" w:cs="仿宋_GB2312"/>
          <w:spacing w:val="-11"/>
          <w:kern w:val="0"/>
          <w:sz w:val="32"/>
          <w:szCs w:val="32"/>
          <w:lang w:val="en-US" w:eastAsia="zh-CN" w:bidi="ar"/>
        </w:rPr>
        <w:t>州市人民检察院第一检察部主任、四级高级检察官</w:t>
      </w:r>
      <w:r>
        <w:rPr>
          <w:rFonts w:hint="eastAsia" w:ascii="仿宋_GB2312" w:hAnsi="仿宋_GB2312" w:eastAsia="仿宋_GB2312" w:cs="仿宋_GB2312"/>
          <w:kern w:val="0"/>
          <w:sz w:val="32"/>
          <w:szCs w:val="32"/>
          <w:lang w:val="en-US" w:eastAsia="zh-CN" w:bidi="ar"/>
        </w:rPr>
        <w:t xml:space="preserve">             </w:t>
      </w:r>
    </w:p>
    <w:p w14:paraId="12576A9D">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28" w:firstLineChars="200"/>
        <w:jc w:val="left"/>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李枝钢  福州市公安局刑事侦查支队副支队长</w:t>
      </w:r>
    </w:p>
    <w:p w14:paraId="307F20E9">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28" w:firstLineChars="200"/>
        <w:jc w:val="left"/>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朱佑辉  福州市财政局社保处副处长（主持工作）           </w:t>
      </w:r>
    </w:p>
    <w:p w14:paraId="64030CB9">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28" w:firstLineChars="200"/>
        <w:jc w:val="left"/>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刘  城  福州市卫生健康委员会医政医管处处长</w:t>
      </w:r>
    </w:p>
    <w:p w14:paraId="72A12EE1">
      <w:pPr>
        <w:keepNext w:val="0"/>
        <w:keepLines w:val="0"/>
        <w:pageBreakBefore w:val="0"/>
        <w:widowControl w:val="0"/>
        <w:suppressLineNumbers w:val="0"/>
        <w:kinsoku/>
        <w:wordWrap/>
        <w:overflowPunct/>
        <w:topLinePunct w:val="0"/>
        <w:autoSpaceDE/>
        <w:autoSpaceDN/>
        <w:bidi w:val="0"/>
        <w:adjustRightInd/>
        <w:snapToGrid/>
        <w:spacing w:line="560" w:lineRule="exact"/>
        <w:ind w:right="0" w:rightChars="0" w:firstLine="628" w:firstLineChars="200"/>
        <w:jc w:val="left"/>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领导小组下设办公室（挂靠市医保局稽查稽核处），市医保局稽查稽核处处长林小洪兼任办公室主任，负责医保领域违法违规问题日常协调、管理等工作。</w:t>
      </w:r>
    </w:p>
    <w:p w14:paraId="01AD19A7">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right="0" w:rightChars="0" w:firstLine="628" w:firstLineChars="200"/>
        <w:jc w:val="left"/>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人员如有变动，由成员单位相应岗位人员自行递补并报领导小组办公室备案，不再另行发文。</w:t>
      </w:r>
    </w:p>
    <w:p w14:paraId="66EB6DC2">
      <w:pPr>
        <w:pStyle w:val="2"/>
        <w:ind w:left="0" w:leftChars="0" w:firstLine="0" w:firstLineChars="0"/>
        <w:rPr>
          <w:rFonts w:hint="eastAsia" w:ascii="仿宋" w:hAnsi="仿宋" w:eastAsia="仿宋" w:cs="仿宋"/>
          <w:sz w:val="32"/>
          <w:szCs w:val="32"/>
          <w:lang w:val="en-US" w:eastAsia="zh-CN"/>
        </w:rPr>
      </w:pPr>
    </w:p>
    <w:p w14:paraId="22021965">
      <w:pPr>
        <w:pStyle w:val="2"/>
        <w:ind w:left="0" w:leftChars="0" w:firstLine="0" w:firstLineChars="0"/>
        <w:rPr>
          <w:rFonts w:hint="eastAsia" w:ascii="仿宋" w:hAnsi="仿宋" w:eastAsia="仿宋" w:cs="仿宋"/>
          <w:sz w:val="32"/>
          <w:szCs w:val="32"/>
          <w:lang w:val="en-US" w:eastAsia="zh-CN"/>
        </w:rPr>
      </w:pPr>
    </w:p>
    <w:p w14:paraId="57E17E9F">
      <w:pPr>
        <w:pStyle w:val="2"/>
        <w:ind w:left="0" w:leftChars="0" w:firstLine="0" w:firstLineChars="0"/>
        <w:rPr>
          <w:rFonts w:hint="eastAsia" w:ascii="仿宋" w:hAnsi="仿宋" w:eastAsia="仿宋" w:cs="仿宋"/>
          <w:sz w:val="32"/>
          <w:szCs w:val="32"/>
          <w:lang w:val="en-US" w:eastAsia="zh-CN"/>
        </w:rPr>
      </w:pPr>
    </w:p>
    <w:p w14:paraId="4A3DE8DD">
      <w:pPr>
        <w:pStyle w:val="2"/>
        <w:ind w:left="0" w:leftChars="0" w:firstLine="0" w:firstLineChars="0"/>
        <w:rPr>
          <w:rFonts w:hint="eastAsia" w:ascii="仿宋" w:hAnsi="仿宋" w:eastAsia="仿宋" w:cs="仿宋"/>
          <w:sz w:val="32"/>
          <w:szCs w:val="32"/>
          <w:lang w:val="en-US" w:eastAsia="zh-CN"/>
        </w:rPr>
      </w:pPr>
    </w:p>
    <w:p w14:paraId="738A08CF">
      <w:pPr>
        <w:pStyle w:val="2"/>
        <w:ind w:left="0" w:leftChars="0" w:firstLine="0" w:firstLineChars="0"/>
        <w:rPr>
          <w:rFonts w:hint="eastAsia" w:ascii="仿宋" w:hAnsi="仿宋" w:eastAsia="仿宋" w:cs="仿宋"/>
          <w:sz w:val="32"/>
          <w:szCs w:val="32"/>
          <w:lang w:val="en-US" w:eastAsia="zh-CN"/>
        </w:rPr>
      </w:pPr>
    </w:p>
    <w:p w14:paraId="098CF65F">
      <w:pPr>
        <w:pStyle w:val="2"/>
        <w:ind w:left="0" w:leftChars="0" w:firstLine="0" w:firstLineChars="0"/>
        <w:rPr>
          <w:rFonts w:hint="eastAsia" w:ascii="仿宋" w:hAnsi="仿宋" w:eastAsia="仿宋" w:cs="仿宋"/>
          <w:sz w:val="32"/>
          <w:szCs w:val="32"/>
          <w:lang w:val="en-US" w:eastAsia="zh-CN"/>
        </w:rPr>
      </w:pPr>
    </w:p>
    <w:p w14:paraId="79E455A6">
      <w:pPr>
        <w:pStyle w:val="2"/>
        <w:ind w:left="0" w:leftChars="0" w:firstLine="0" w:firstLineChars="0"/>
        <w:rPr>
          <w:rFonts w:hint="eastAsia" w:ascii="仿宋" w:hAnsi="仿宋" w:eastAsia="仿宋" w:cs="仿宋"/>
          <w:sz w:val="32"/>
          <w:szCs w:val="32"/>
          <w:lang w:val="en-US" w:eastAsia="zh-CN"/>
        </w:rPr>
      </w:pPr>
    </w:p>
    <w:p w14:paraId="0C7EE94C">
      <w:pPr>
        <w:pStyle w:val="2"/>
        <w:ind w:left="0" w:leftChars="0" w:firstLine="0" w:firstLineChars="0"/>
        <w:rPr>
          <w:rFonts w:hint="eastAsia" w:ascii="仿宋" w:hAnsi="仿宋" w:eastAsia="仿宋" w:cs="仿宋"/>
          <w:sz w:val="32"/>
          <w:szCs w:val="32"/>
          <w:lang w:val="en-US" w:eastAsia="zh-CN"/>
        </w:rPr>
      </w:pPr>
    </w:p>
    <w:p w14:paraId="1D699C9F">
      <w:pPr>
        <w:pStyle w:val="2"/>
        <w:ind w:left="0" w:leftChars="0" w:firstLine="0" w:firstLineChars="0"/>
        <w:rPr>
          <w:rFonts w:hint="eastAsia" w:ascii="仿宋" w:hAnsi="仿宋" w:eastAsia="仿宋" w:cs="仿宋"/>
          <w:sz w:val="32"/>
          <w:szCs w:val="32"/>
          <w:lang w:val="en-US" w:eastAsia="zh-CN"/>
        </w:rPr>
      </w:pPr>
    </w:p>
    <w:p w14:paraId="1191112F">
      <w:pPr>
        <w:pStyle w:val="2"/>
        <w:ind w:left="0" w:leftChars="0" w:firstLine="0" w:firstLineChars="0"/>
        <w:rPr>
          <w:rFonts w:hint="eastAsia" w:ascii="仿宋" w:hAnsi="仿宋" w:eastAsia="仿宋" w:cs="仿宋"/>
          <w:sz w:val="32"/>
          <w:szCs w:val="32"/>
          <w:lang w:val="en-US" w:eastAsia="zh-CN"/>
        </w:rPr>
      </w:pPr>
    </w:p>
    <w:p w14:paraId="048645C9">
      <w:pPr>
        <w:pStyle w:val="2"/>
        <w:ind w:left="0" w:leftChars="0" w:firstLine="0" w:firstLineChars="0"/>
        <w:rPr>
          <w:rFonts w:hint="eastAsia" w:ascii="仿宋" w:hAnsi="仿宋" w:eastAsia="仿宋" w:cs="仿宋"/>
          <w:sz w:val="32"/>
          <w:szCs w:val="32"/>
          <w:lang w:val="en-US" w:eastAsia="zh-CN"/>
        </w:rPr>
      </w:pPr>
    </w:p>
    <w:p w14:paraId="372EC318">
      <w:pPr>
        <w:pStyle w:val="2"/>
        <w:ind w:left="0" w:leftChars="0" w:firstLine="0" w:firstLineChars="0"/>
        <w:rPr>
          <w:rFonts w:hint="eastAsia" w:ascii="仿宋" w:hAnsi="仿宋" w:eastAsia="仿宋" w:cs="仿宋"/>
          <w:sz w:val="32"/>
          <w:szCs w:val="32"/>
          <w:lang w:val="en-US" w:eastAsia="zh-CN"/>
        </w:rPr>
      </w:pPr>
    </w:p>
    <w:p w14:paraId="32997810">
      <w:pPr>
        <w:pStyle w:val="2"/>
        <w:ind w:left="0" w:leftChars="0" w:firstLine="0" w:firstLineChars="0"/>
        <w:rPr>
          <w:rFonts w:hint="eastAsia" w:ascii="仿宋" w:hAnsi="仿宋" w:eastAsia="仿宋" w:cs="仿宋"/>
          <w:sz w:val="32"/>
          <w:szCs w:val="32"/>
          <w:lang w:val="en-US" w:eastAsia="zh-CN"/>
        </w:rPr>
      </w:pPr>
    </w:p>
    <w:p w14:paraId="331D546D">
      <w:pPr>
        <w:pStyle w:val="2"/>
        <w:ind w:left="0" w:leftChars="0" w:firstLine="0" w:firstLineChars="0"/>
        <w:rPr>
          <w:rFonts w:hint="eastAsia" w:ascii="仿宋_GB2312" w:hAnsi="仿宋_GB2312" w:eastAsia="仿宋_GB2312" w:cs="仿宋_GB2312"/>
          <w:sz w:val="28"/>
          <w:szCs w:val="28"/>
          <w:lang w:val="en-US" w:eastAsia="zh-CN"/>
        </w:rPr>
      </w:pPr>
    </w:p>
    <w:p w14:paraId="5E6117A0">
      <w:pPr>
        <w:pStyle w:val="2"/>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公开属性：主动公开</w:t>
      </w:r>
    </w:p>
    <w:tbl>
      <w:tblPr>
        <w:tblStyle w:val="8"/>
        <w:tblW w:w="8944"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4"/>
      </w:tblGrid>
      <w:tr w14:paraId="21E26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944" w:type="dxa"/>
            <w:tcBorders>
              <w:top w:val="single" w:color="auto" w:sz="4" w:space="0"/>
              <w:left w:val="nil"/>
              <w:bottom w:val="single" w:color="auto" w:sz="4" w:space="0"/>
              <w:right w:val="nil"/>
            </w:tcBorders>
            <w:vAlign w:val="center"/>
          </w:tcPr>
          <w:p w14:paraId="746955CE">
            <w:pPr>
              <w:ind w:firstLine="274"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抄送：驻市财政局纪检监察组</w:t>
            </w:r>
          </w:p>
        </w:tc>
      </w:tr>
      <w:tr w14:paraId="241BE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944" w:type="dxa"/>
            <w:tcBorders>
              <w:top w:val="single" w:color="auto" w:sz="4" w:space="0"/>
              <w:left w:val="nil"/>
              <w:bottom w:val="single" w:color="auto" w:sz="4" w:space="0"/>
              <w:right w:val="nil"/>
            </w:tcBorders>
            <w:vAlign w:val="center"/>
          </w:tcPr>
          <w:p w14:paraId="25D8035A">
            <w:pPr>
              <w:ind w:firstLine="274"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福州市医疗保障局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w:t>
            </w:r>
            <w:r>
              <w:rPr>
                <w:rFonts w:hint="eastAsia" w:ascii="仿宋_GB2312" w:hAnsi="仿宋_GB2312" w:eastAsia="仿宋_GB2312" w:cs="仿宋_GB2312"/>
                <w:sz w:val="28"/>
                <w:szCs w:val="28"/>
                <w:lang w:val="en-US" w:eastAsia="zh-CN"/>
              </w:rPr>
              <w:t xml:space="preserve">    2024</w:t>
            </w:r>
            <w:r>
              <w:rPr>
                <w:rFonts w:hint="eastAsia" w:ascii="仿宋_GB2312" w:hAnsi="仿宋_GB2312" w:eastAsia="仿宋_GB2312" w:cs="仿宋_GB2312"/>
                <w:spacing w:val="-20"/>
                <w:sz w:val="28"/>
                <w:szCs w:val="28"/>
              </w:rPr>
              <w:t>年</w:t>
            </w:r>
            <w:r>
              <w:rPr>
                <w:rFonts w:hint="eastAsia" w:ascii="仿宋_GB2312" w:hAnsi="仿宋_GB2312" w:eastAsia="仿宋_GB2312" w:cs="仿宋_GB2312"/>
                <w:spacing w:val="-20"/>
                <w:sz w:val="28"/>
                <w:szCs w:val="28"/>
                <w:lang w:val="en-US" w:eastAsia="zh-CN"/>
              </w:rPr>
              <w:t>6</w:t>
            </w:r>
            <w:r>
              <w:rPr>
                <w:rFonts w:hint="eastAsia" w:ascii="仿宋_GB2312" w:hAnsi="仿宋_GB2312" w:eastAsia="仿宋_GB2312" w:cs="仿宋_GB2312"/>
                <w:spacing w:val="-20"/>
                <w:sz w:val="28"/>
                <w:szCs w:val="28"/>
              </w:rPr>
              <w:t>月</w:t>
            </w:r>
            <w:r>
              <w:rPr>
                <w:rFonts w:hint="eastAsia" w:ascii="仿宋_GB2312" w:hAnsi="仿宋_GB2312" w:eastAsia="仿宋_GB2312" w:cs="仿宋_GB2312"/>
                <w:spacing w:val="-20"/>
                <w:sz w:val="28"/>
                <w:szCs w:val="28"/>
                <w:lang w:val="en-US" w:eastAsia="zh-CN"/>
              </w:rPr>
              <w:t>25</w:t>
            </w:r>
            <w:r>
              <w:rPr>
                <w:rFonts w:hint="eastAsia" w:ascii="仿宋_GB2312" w:hAnsi="仿宋_GB2312" w:eastAsia="仿宋_GB2312" w:cs="仿宋_GB2312"/>
                <w:spacing w:val="-20"/>
                <w:sz w:val="28"/>
                <w:szCs w:val="28"/>
              </w:rPr>
              <w:t>日</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印发</w:t>
            </w:r>
          </w:p>
        </w:tc>
      </w:tr>
    </w:tbl>
    <w:p w14:paraId="3E02B7F7">
      <w:pPr>
        <w:spacing w:line="20" w:lineRule="exact"/>
        <w:textAlignment w:val="baseline"/>
        <w:rPr>
          <w:rFonts w:hint="eastAsia" w:ascii="仿宋_GB2312" w:hAnsi="仿宋_GB2312" w:eastAsia="仿宋_GB2312" w:cs="仿宋_GB2312"/>
          <w:sz w:val="28"/>
          <w:szCs w:val="28"/>
        </w:rPr>
      </w:pPr>
    </w:p>
    <w:sectPr>
      <w:headerReference r:id="rId12" w:type="first"/>
      <w:footerReference r:id="rId14" w:type="first"/>
      <w:headerReference r:id="rId11" w:type="default"/>
      <w:footerReference r:id="rId13" w:type="default"/>
      <w:type w:val="continuous"/>
      <w:pgSz w:w="11906" w:h="16838"/>
      <w:pgMar w:top="2041" w:right="1531" w:bottom="2041" w:left="1531" w:header="851" w:footer="1531" w:gutter="0"/>
      <w:cols w:space="720" w:num="1"/>
      <w:titlePg/>
      <w:docGrid w:type="linesAndChars" w:linePitch="579"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00000000000000000"/>
    <w:charset w:val="86"/>
    <w:family w:val="auto"/>
    <w:pitch w:val="default"/>
    <w:sig w:usb0="00000000" w:usb1="00000000" w:usb2="00000012" w:usb3="00000000" w:csb0="00040001" w:csb1="00000000"/>
  </w:font>
  <w:font w:name="方正楷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E9171">
    <w:pPr>
      <w:pStyle w:val="5"/>
      <w:framePr w:wrap="around" w:vAnchor="text" w:hAnchor="margin" w:xAlign="right" w:yAlign="top"/>
      <w:pBdr>
        <w:between w:val="none" w:color="auto" w:sz="0" w:space="0"/>
      </w:pBdr>
      <w:rPr>
        <w:rFonts w:hint="eastAsia" w:ascii="方正楷体_GBK" w:hAnsi="方正楷体_GBK" w:eastAsia="方正楷体_GBK"/>
      </w:rPr>
    </w:pPr>
    <w:r>
      <w:rPr>
        <w:rFonts w:hint="eastAsia" w:ascii="方正楷体_GBK" w:hAnsi="方正楷体_GBK" w:eastAsia="方正楷体_GBK"/>
        <w:sz w:val="28"/>
      </w:rPr>
      <w:t xml:space="preserve">— </w:t>
    </w:r>
    <w:r>
      <w:rPr>
        <w:rFonts w:hint="eastAsia" w:ascii="宋体" w:hAnsi="宋体" w:eastAsia="宋体"/>
        <w:sz w:val="28"/>
      </w:rPr>
      <w:fldChar w:fldCharType="begin"/>
    </w:r>
    <w:r>
      <w:rPr>
        <w:rFonts w:hint="eastAsia" w:ascii="宋体" w:hAnsi="宋体" w:eastAsia="宋体"/>
        <w:sz w:val="28"/>
      </w:rPr>
      <w:instrText xml:space="preserve"> PAGE  </w:instrText>
    </w:r>
    <w:r>
      <w:rPr>
        <w:rFonts w:hint="eastAsia" w:ascii="宋体" w:hAnsi="宋体" w:eastAsia="宋体"/>
        <w:sz w:val="28"/>
      </w:rPr>
      <w:fldChar w:fldCharType="separate"/>
    </w:r>
    <w:r>
      <w:rPr>
        <w:rFonts w:hint="eastAsia" w:ascii="宋体" w:hAnsi="宋体" w:eastAsia="宋体"/>
        <w:sz w:val="28"/>
      </w:rPr>
      <w:fldChar w:fldCharType="end"/>
    </w:r>
    <w:r>
      <w:rPr>
        <w:rFonts w:hint="eastAsia" w:ascii="方正楷体_GBK" w:hAnsi="方正楷体_GBK" w:eastAsia="方正楷体_GBK"/>
        <w:sz w:val="28"/>
      </w:rPr>
      <w:t xml:space="preserve"> —　</w:t>
    </w:r>
  </w:p>
  <w:p w14:paraId="13653556">
    <w:pPr>
      <w:pStyle w:val="5"/>
      <w:rPr>
        <w:rFonts w:hint="eastAsia" w:ascii="方正楷体_GBK" w:hAnsi="方正楷体_GBK" w:eastAsia="方正楷体_GBK"/>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E0410">
    <w:pPr>
      <w:pStyle w:val="5"/>
      <w:framePr w:wrap="around" w:vAnchor="text" w:hAnchor="margin" w:xAlign="right" w:yAlign="top"/>
      <w:pBdr>
        <w:between w:val="none" w:color="auto" w:sz="0" w:space="0"/>
      </w:pBdr>
    </w:pPr>
  </w:p>
  <w:p w14:paraId="0E4B7258">
    <w:pPr>
      <w:pStyle w:val="5"/>
    </w:pPr>
    <w:r>
      <w:rPr>
        <w:rFonts w:hint="eastAsia" w:ascii="方正楷体_GBK" w:hAnsi="方正楷体_GBK" w:eastAsia="方正楷体_GBK"/>
        <w:sz w:val="28"/>
      </w:rPr>
      <w:t xml:space="preserve">　— </w:t>
    </w:r>
    <w:r>
      <w:rPr>
        <w:rFonts w:hint="eastAsia" w:ascii="宋体" w:hAnsi="宋体" w:eastAsia="宋体"/>
        <w:sz w:val="28"/>
      </w:rPr>
      <w:fldChar w:fldCharType="begin"/>
    </w:r>
    <w:r>
      <w:rPr>
        <w:rFonts w:hint="eastAsia" w:ascii="宋体" w:hAnsi="宋体" w:eastAsia="宋体"/>
        <w:sz w:val="28"/>
      </w:rPr>
      <w:instrText xml:space="preserve"> PAGE  </w:instrText>
    </w:r>
    <w:r>
      <w:rPr>
        <w:rFonts w:hint="eastAsia" w:ascii="宋体" w:hAnsi="宋体" w:eastAsia="宋体"/>
        <w:sz w:val="28"/>
      </w:rPr>
      <w:fldChar w:fldCharType="separate"/>
    </w:r>
    <w:r>
      <w:rPr>
        <w:rFonts w:hint="eastAsia" w:ascii="宋体" w:hAnsi="宋体" w:eastAsia="宋体"/>
        <w:sz w:val="28"/>
      </w:rPr>
      <w:fldChar w:fldCharType="end"/>
    </w:r>
    <w:r>
      <w:rPr>
        <w:rFonts w:hint="eastAsia" w:ascii="方正楷体_GBK" w:hAnsi="方正楷体_GBK" w:eastAsia="方正楷体_GBK"/>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0F3CC">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6438A">
    <w:pPr>
      <w:pStyle w:val="5"/>
      <w:framePr w:wrap="around" w:vAnchor="text" w:hAnchor="margin" w:xAlign="right" w:yAlign="top"/>
      <w:pBdr>
        <w:between w:val="none" w:color="auto" w:sz="0" w:space="0"/>
      </w:pBdr>
      <w:rPr>
        <w:rFonts w:hint="eastAsia" w:ascii="方正楷体_GBK" w:hAnsi="方正楷体_GBK" w:eastAsia="方正楷体_GBK"/>
      </w:rPr>
    </w:pPr>
    <w:r>
      <w:rPr>
        <w:rFonts w:hint="eastAsia" w:ascii="方正楷体_GBK" w:hAnsi="方正楷体_GBK" w:eastAsia="方正楷体_GBK"/>
        <w:sz w:val="28"/>
      </w:rPr>
      <w:t xml:space="preserve">— </w:t>
    </w:r>
    <w:r>
      <w:rPr>
        <w:rFonts w:hint="eastAsia" w:ascii="宋体" w:hAnsi="宋体" w:eastAsia="宋体"/>
        <w:sz w:val="28"/>
      </w:rPr>
      <w:fldChar w:fldCharType="begin"/>
    </w:r>
    <w:r>
      <w:rPr>
        <w:rFonts w:hint="eastAsia" w:ascii="宋体" w:hAnsi="宋体" w:eastAsia="宋体"/>
        <w:sz w:val="28"/>
      </w:rPr>
      <w:instrText xml:space="preserve"> PAGE  </w:instrText>
    </w:r>
    <w:r>
      <w:rPr>
        <w:rFonts w:hint="eastAsia" w:ascii="宋体" w:hAnsi="宋体" w:eastAsia="宋体"/>
        <w:sz w:val="28"/>
      </w:rPr>
      <w:fldChar w:fldCharType="separate"/>
    </w:r>
    <w:r>
      <w:rPr>
        <w:rFonts w:hint="eastAsia" w:ascii="宋体" w:hAnsi="宋体" w:eastAsia="宋体"/>
        <w:sz w:val="28"/>
      </w:rPr>
      <w:fldChar w:fldCharType="end"/>
    </w:r>
    <w:r>
      <w:rPr>
        <w:rFonts w:hint="eastAsia" w:ascii="方正楷体_GBK" w:hAnsi="方正楷体_GBK" w:eastAsia="方正楷体_GBK"/>
        <w:sz w:val="28"/>
      </w:rPr>
      <w:t xml:space="preserve"> —　</w:t>
    </w:r>
  </w:p>
  <w:p w14:paraId="0AEB3047">
    <w:pPr>
      <w:pStyle w:val="5"/>
      <w:rPr>
        <w:rFonts w:hint="eastAsia" w:ascii="方正楷体_GBK" w:hAnsi="方正楷体_GBK" w:eastAsia="方正楷体_GBK"/>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DCD85">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1943A">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C3907">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923A9">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F29DB">
    <w:pPr>
      <w:pStyle w:val="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5B052">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bordersDoNotSurroundHeader w:val="1"/>
  <w:bordersDoNotSurroundFooter w:val="1"/>
  <w:attachedTemplate r:id="rId1"/>
  <w:documentProtection w:edit="trackedChanges" w:enforcement="0"/>
  <w:defaultTabStop w:val="720"/>
  <w:hyphenationZone w:val="360"/>
  <w:drawingGridHorizontalSpacing w:val="157"/>
  <w:drawingGridVerticalSpacing w:val="579"/>
  <w:displayHorizontalDrawingGridEvery w:val="2"/>
  <w:displayVerticalDrawingGridEvery w:val="1"/>
  <w:doNotShadeFormData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Time" w:val="2019-09-20 12:07:24"/>
    <w:docVar w:name="SessionId" w:val="LtpaToken=AAECAzVEODQ1MDkzNUQ4NTNBRjNDTj1VMDEwNTAwL089RlVaSE9VghcXcvpMEMCZaWpaRLGUtJAN1gI="/>
  </w:docVars>
  <w:rsids>
    <w:rsidRoot w:val="00172A27"/>
    <w:rsid w:val="00163819"/>
    <w:rsid w:val="005E54E5"/>
    <w:rsid w:val="00985EB2"/>
    <w:rsid w:val="00B44DD8"/>
    <w:rsid w:val="00C543C8"/>
    <w:rsid w:val="00CC7E08"/>
    <w:rsid w:val="01BB5DE8"/>
    <w:rsid w:val="021F7EF0"/>
    <w:rsid w:val="04BB2BB5"/>
    <w:rsid w:val="069214F7"/>
    <w:rsid w:val="07BF400D"/>
    <w:rsid w:val="11E82F2B"/>
    <w:rsid w:val="14BA713F"/>
    <w:rsid w:val="16B9582B"/>
    <w:rsid w:val="18372B85"/>
    <w:rsid w:val="1A77788D"/>
    <w:rsid w:val="1BFD7BAF"/>
    <w:rsid w:val="1BFF258D"/>
    <w:rsid w:val="21F631EC"/>
    <w:rsid w:val="23EE71D7"/>
    <w:rsid w:val="247B15F7"/>
    <w:rsid w:val="25275B7E"/>
    <w:rsid w:val="26AB26CA"/>
    <w:rsid w:val="27290C23"/>
    <w:rsid w:val="273A6B11"/>
    <w:rsid w:val="276D31ED"/>
    <w:rsid w:val="28CC134E"/>
    <w:rsid w:val="2AF25774"/>
    <w:rsid w:val="2B5A4D75"/>
    <w:rsid w:val="32DD7A1A"/>
    <w:rsid w:val="34355B62"/>
    <w:rsid w:val="3529058B"/>
    <w:rsid w:val="354F7E53"/>
    <w:rsid w:val="37F38AB5"/>
    <w:rsid w:val="39A50B68"/>
    <w:rsid w:val="3B5FF272"/>
    <w:rsid w:val="3BB346BF"/>
    <w:rsid w:val="3DBD4B35"/>
    <w:rsid w:val="3F604516"/>
    <w:rsid w:val="3F9C4834"/>
    <w:rsid w:val="44405A49"/>
    <w:rsid w:val="44FF5117"/>
    <w:rsid w:val="4731124B"/>
    <w:rsid w:val="47C62956"/>
    <w:rsid w:val="49426D17"/>
    <w:rsid w:val="49BD4166"/>
    <w:rsid w:val="50502100"/>
    <w:rsid w:val="52F32A9E"/>
    <w:rsid w:val="542762AF"/>
    <w:rsid w:val="549F39B2"/>
    <w:rsid w:val="5B0F5D9A"/>
    <w:rsid w:val="5B731680"/>
    <w:rsid w:val="654A0F2D"/>
    <w:rsid w:val="65C5784C"/>
    <w:rsid w:val="66526CB8"/>
    <w:rsid w:val="68672981"/>
    <w:rsid w:val="6BE831C7"/>
    <w:rsid w:val="6D1E5781"/>
    <w:rsid w:val="6EFB20CA"/>
    <w:rsid w:val="6F7A17E8"/>
    <w:rsid w:val="6FA904BF"/>
    <w:rsid w:val="6FFCBAF0"/>
    <w:rsid w:val="72A71DFF"/>
    <w:rsid w:val="741237C4"/>
    <w:rsid w:val="76E11454"/>
    <w:rsid w:val="79761599"/>
    <w:rsid w:val="797F5FB1"/>
    <w:rsid w:val="7A1E3C25"/>
    <w:rsid w:val="7A4D64B7"/>
    <w:rsid w:val="7B544066"/>
    <w:rsid w:val="7BC841EA"/>
    <w:rsid w:val="7C4B0ED6"/>
    <w:rsid w:val="7C5B7A7F"/>
    <w:rsid w:val="7CC64FA4"/>
    <w:rsid w:val="7ECF2C88"/>
    <w:rsid w:val="7FF9FC21"/>
    <w:rsid w:val="B59B8F97"/>
    <w:rsid w:val="BEED68EB"/>
    <w:rsid w:val="BFDD93FB"/>
    <w:rsid w:val="DEB37B44"/>
    <w:rsid w:val="FFDA150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qFormat/>
    <w:uiPriority w:val="0"/>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4">
    <w:name w:val="Balloon Text"/>
    <w:basedOn w:val="1"/>
    <w:unhideWhenUsed/>
    <w:qFormat/>
    <w:uiPriority w:val="99"/>
    <w:rPr>
      <w:sz w:val="2"/>
    </w:rPr>
  </w:style>
  <w:style w:type="paragraph" w:styleId="5">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6">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7">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22"/>
    <w:rPr>
      <w:b/>
    </w:rPr>
  </w:style>
  <w:style w:type="character" w:styleId="11">
    <w:name w:val="page number"/>
    <w:basedOn w:val="9"/>
    <w:qFormat/>
    <w:uiPriority w:val="0"/>
  </w:style>
  <w:style w:type="character" w:styleId="12">
    <w:name w:val="line number"/>
    <w:basedOn w:val="9"/>
    <w:qFormat/>
    <w:uiPriority w:val="0"/>
  </w:style>
  <w:style w:type="character" w:customStyle="1" w:styleId="13">
    <w:name w:val="NormalCharacter"/>
    <w:qFormat/>
    <w:uiPriority w:val="0"/>
    <w:rPr>
      <w:rFonts w:ascii="Times New Roman" w:hAnsi="Times New Roman" w:eastAsia="宋体"/>
    </w:rPr>
  </w:style>
  <w:style w:type="character" w:customStyle="1" w:styleId="14">
    <w:name w:val="UserStyle_1"/>
    <w:qFormat/>
    <w:uiPriority w:val="0"/>
    <w:rPr>
      <w:rFonts w:ascii="Calibri" w:hAnsi="Calibri"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neokylin\C:\home\neokylin\01%20&#35831;&#31034;.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01 请示.wpt</Template>
  <Pages>10</Pages>
  <Words>1406</Words>
  <Characters>1430</Characters>
  <Lines>1</Lines>
  <Paragraphs>1</Paragraphs>
  <TotalTime>1</TotalTime>
  <ScaleCrop>false</ScaleCrop>
  <LinksUpToDate>false</LinksUpToDate>
  <CharactersWithSpaces>1550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2017-04-30T09:14:00Z</dcterms:created>
  <dc:creator>张先玲/卫生局/FUZHOU</dc:creator>
  <cp:lastModifiedBy>月日</cp:lastModifiedBy>
  <cp:lastPrinted>2024-07-12T10:46:00Z</cp:lastPrinted>
  <dcterms:modified xsi:type="dcterms:W3CDTF">2024-12-11T00:59:18Z</dcterms:modified>
  <dc:title>No:0000001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4AD61D6C13DD470A9DF1FCCA977153AC_12</vt:lpwstr>
  </property>
</Properties>
</file>