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jc w:val="center"/>
        <w:textAlignment w:val="auto"/>
        <w:rPr>
          <w:rFonts w:hint="eastAsia" w:asciiTheme="majorEastAsia" w:hAnsiTheme="majorEastAsia" w:eastAsiaTheme="majorEastAsia" w:cstheme="majorEastAsia"/>
          <w:b/>
          <w:bCs w:val="0"/>
          <w:sz w:val="44"/>
          <w:szCs w:val="44"/>
          <w:lang w:val="en-US" w:eastAsia="zh-CN"/>
        </w:rPr>
      </w:pPr>
      <w:bookmarkStart w:id="0" w:name="_GoBack"/>
      <w:bookmarkEnd w:id="0"/>
      <w:r>
        <w:rPr>
          <w:rFonts w:hint="eastAsia" w:asciiTheme="majorEastAsia" w:hAnsiTheme="majorEastAsia" w:eastAsiaTheme="majorEastAsia" w:cstheme="majorEastAsia"/>
          <w:b/>
          <w:bCs w:val="0"/>
          <w:sz w:val="44"/>
          <w:szCs w:val="44"/>
          <w:lang w:val="en-US" w:eastAsia="zh-CN"/>
        </w:rPr>
        <w:t>《福州医疗保障局关于开展康复病种按床日付费工作的通知（试行）》</w:t>
      </w:r>
    </w:p>
    <w:p>
      <w:pPr>
        <w:keepNext w:val="0"/>
        <w:keepLines w:val="0"/>
        <w:pageBreakBefore w:val="0"/>
        <w:widowControl/>
        <w:kinsoku/>
        <w:wordWrap/>
        <w:overflowPunct/>
        <w:topLinePunct w:val="0"/>
        <w:autoSpaceDE/>
        <w:autoSpaceDN/>
        <w:bidi w:val="0"/>
        <w:adjustRightInd/>
        <w:snapToGrid/>
        <w:spacing w:line="600" w:lineRule="exact"/>
        <w:ind w:left="0"/>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val="en-US" w:eastAsia="zh-CN"/>
        </w:rPr>
        <w:t>的政策解读</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33333"/>
          <w:spacing w:val="0"/>
          <w:sz w:val="0"/>
          <w:szCs w:val="0"/>
        </w:rPr>
      </w:pPr>
      <w:r>
        <w:rPr>
          <w:rFonts w:hint="eastAsia" w:ascii="微软雅黑" w:hAnsi="微软雅黑" w:eastAsia="微软雅黑" w:cs="微软雅黑"/>
          <w:i w:val="0"/>
          <w:iCs w:val="0"/>
          <w:caps w:val="0"/>
          <w:color w:val="999999"/>
          <w:spacing w:val="0"/>
          <w:kern w:val="0"/>
          <w:sz w:val="0"/>
          <w:szCs w:val="0"/>
          <w:shd w:val="clear" w:fill="FFFFFF"/>
          <w:lang w:val="en-US" w:eastAsia="zh-CN" w:bidi="ar"/>
        </w:rPr>
        <w:t>来源：福建省医疗保障局</w:t>
      </w:r>
      <w:r>
        <w:rPr>
          <w:rFonts w:hint="eastAsia" w:ascii="微软雅黑" w:hAnsi="微软雅黑" w:eastAsia="微软雅黑" w:cs="微软雅黑"/>
          <w:i w:val="0"/>
          <w:iCs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iCs w:val="0"/>
          <w:caps w:val="0"/>
          <w:color w:val="999999"/>
          <w:spacing w:val="0"/>
          <w:kern w:val="0"/>
          <w:sz w:val="0"/>
          <w:szCs w:val="0"/>
          <w:shd w:val="clear" w:fill="FFFFFF"/>
          <w:lang w:val="en-US" w:eastAsia="zh-CN" w:bidi="ar"/>
        </w:rPr>
        <w:t>时间：2025-10-14 15:12</w:t>
      </w:r>
      <w:r>
        <w:rPr>
          <w:rFonts w:hint="eastAsia" w:ascii="微软雅黑" w:hAnsi="微软雅黑" w:eastAsia="微软雅黑" w:cs="微软雅黑"/>
          <w:i w:val="0"/>
          <w:iCs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iCs w:val="0"/>
          <w:caps w:val="0"/>
          <w:color w:val="999999"/>
          <w:spacing w:val="0"/>
          <w:kern w:val="0"/>
          <w:sz w:val="0"/>
          <w:szCs w:val="0"/>
          <w:shd w:val="clear" w:fill="FFFFFF"/>
          <w:lang w:val="en-US" w:eastAsia="zh-CN" w:bidi="ar"/>
        </w:rPr>
        <w:t>浏览量：2063</w:t>
      </w:r>
    </w:p>
    <w:p>
      <w:pPr>
        <w:keepNext w:val="0"/>
        <w:keepLines w:val="0"/>
        <w:widowControl/>
        <w:suppressLineNumbers w:val="0"/>
        <w:shd w:val="clear" w:fill="FFFFFF"/>
        <w:ind w:left="0" w:firstLine="0"/>
        <w:jc w:val="right"/>
        <w:rPr>
          <w:rFonts w:hint="eastAsia" w:ascii="微软雅黑" w:hAnsi="微软雅黑" w:eastAsia="微软雅黑" w:cs="微软雅黑"/>
          <w:i w:val="0"/>
          <w:iCs w:val="0"/>
          <w:caps w:val="0"/>
          <w:color w:val="333333"/>
          <w:spacing w:val="0"/>
          <w:sz w:val="0"/>
          <w:szCs w:val="0"/>
        </w:rPr>
      </w:pPr>
      <w:r>
        <w:rPr>
          <w:rFonts w:hint="eastAsia" w:ascii="微软雅黑" w:hAnsi="微软雅黑" w:eastAsia="微软雅黑" w:cs="微软雅黑"/>
          <w:i w:val="0"/>
          <w:iCs w:val="0"/>
          <w:caps w:val="0"/>
          <w:color w:val="333333"/>
          <w:spacing w:val="0"/>
          <w:kern w:val="0"/>
          <w:sz w:val="0"/>
          <w:szCs w:val="0"/>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6"/>
          <w:kern w:val="2"/>
          <w:sz w:val="32"/>
          <w:szCs w:val="32"/>
          <w:lang w:val="en-US" w:eastAsia="zh-CN" w:bidi="ar-SA"/>
        </w:rPr>
        <w:t>为深化我市医疗保障基金支付方式改革，促进康复医疗服务体系高质量发展，提升医保基金使用效率，根据国家及福建省相关政策文件精神，结合福州市实际，福州市医疗保障局印发了《关于开展康复病种按床日付费工作的通知（试行）》（以下简称《通知》），现将主要内容解读如下：</w:t>
      </w:r>
      <w:r>
        <w:rPr>
          <w:rFonts w:hint="eastAsia" w:ascii="仿宋_GB2312" w:hAnsi="仿宋_GB2312" w:eastAsia="仿宋_GB2312" w:cs="仿宋_GB2312"/>
          <w:b w:val="0"/>
          <w:bCs w:val="0"/>
          <w:spacing w:val="-6"/>
          <w:kern w:val="2"/>
          <w:sz w:val="32"/>
          <w:szCs w:val="32"/>
          <w:lang w:val="en-US" w:eastAsia="zh-CN" w:bidi="ar-SA"/>
        </w:rPr>
        <w:br w:type="textWrapping"/>
      </w:r>
      <w:r>
        <w:rPr>
          <w:rFonts w:hint="eastAsia" w:ascii="黑体" w:hAnsi="黑体" w:eastAsia="黑体" w:cs="黑体"/>
          <w:sz w:val="36"/>
          <w:szCs w:val="36"/>
          <w:lang w:val="en-US" w:eastAsia="zh-CN"/>
        </w:rPr>
        <w:t>　　</w:t>
      </w:r>
      <w:r>
        <w:rPr>
          <w:rFonts w:hint="eastAsia" w:ascii="黑体" w:hAnsi="黑体" w:eastAsia="黑体" w:cs="黑体"/>
          <w:sz w:val="32"/>
          <w:szCs w:val="32"/>
          <w:lang w:val="en-US" w:eastAsia="zh-CN"/>
        </w:rPr>
        <w:t>一、出台背景</w:t>
      </w:r>
      <w:r>
        <w:rPr>
          <w:rFonts w:hint="eastAsia" w:ascii="仿宋_GB2312" w:hAnsi="仿宋_GB2312" w:eastAsia="仿宋_GB2312" w:cs="仿宋_GB2312"/>
          <w:b w:val="0"/>
          <w:bCs w:val="0"/>
          <w:spacing w:val="-6"/>
          <w:kern w:val="2"/>
          <w:sz w:val="32"/>
          <w:szCs w:val="32"/>
          <w:lang w:val="en-US" w:eastAsia="zh-CN" w:bidi="ar-SA"/>
        </w:rPr>
        <w:br w:type="textWrapping"/>
      </w:r>
      <w:r>
        <w:rPr>
          <w:rFonts w:hint="eastAsia" w:ascii="仿宋_GB2312" w:hAnsi="仿宋_GB2312" w:eastAsia="仿宋_GB2312" w:cs="仿宋_GB2312"/>
          <w:b w:val="0"/>
          <w:bCs w:val="0"/>
          <w:spacing w:val="-6"/>
          <w:kern w:val="2"/>
          <w:sz w:val="32"/>
          <w:szCs w:val="32"/>
          <w:lang w:val="en-US" w:eastAsia="zh-CN" w:bidi="ar-SA"/>
        </w:rPr>
        <w:t>　　</w:t>
      </w:r>
      <mc:AlternateContent>
        <mc:Choice Requires="wpsCustomData">
          <wpsCustomData:docfieldStart id="0" docfieldname="发文机关代字" hidden="0" print="1" readonly="0" index="2"/>
        </mc:Choice>
      </mc:AlternateContent>
      <w:r>
        <w:rPr>
          <w:rFonts w:hint="eastAsia" w:ascii="仿宋_GB2312" w:hAnsi="仿宋_GB2312" w:eastAsia="仿宋_GB2312" w:cs="仿宋_GB2312"/>
          <w:sz w:val="32"/>
          <w:szCs w:val="32"/>
          <w:lang w:val="en-US" w:eastAsia="zh-CN"/>
        </w:rPr>
        <w:t>随着人口老龄化进程加快和疾病谱变化，康复医疗需求持续增长。传统的按项目付费等方式难以精准匹配患者实施康复周期与资源消耗。国家层面先后出台《“十四五”全民医疗保障规划的通知》《关于加快推进康复医疗工作发展的意见》《DRG/DIP支付方式改革三年行动计划》等文件，明确要求探索完善符合康复医疗服务特点的支付方式。2025年9月，福建省医疗保障局印发了《关于开展康复病种按床日付费工作的通知》（闽医保规〔2025〕2号），部署康复病种按床日付费的相关工作。制定本《通知》旨在贯彻落实国家、省关于医保支付方式改革和康复医疗事业发展要求的具体举措，引导医疗机构合理控制成本、规范诊疗行为、提升服务效率，从而满足群众康复医疗需求，保障医保基金安全高效运行</w:t>
      </w:r>
      <w:r>
        <w:rPr>
          <w:rFonts w:hint="eastAsia" w:ascii="仿宋_GB2312" w:hAnsi="仿宋_GB2312" w:eastAsia="仿宋_GB2312" w:cs="仿宋_GB2312"/>
          <w:color w:val="000000"/>
          <w:kern w:val="0"/>
          <w:sz w:val="32"/>
          <w:szCs w:val="32"/>
          <w:lang w:eastAsia="zh-CN"/>
        </w:rPr>
        <w:t>。</w:t>
      </w:r>
    </w:p>
    <mc:AlternateContent>
      <mc:Choice Requires="wpsCustomData">
        <wpsCustomData:docfieldEnd id="0"/>
      </mc:Choice>
    </mc:AlternateContent>
    <w:p>
      <w:pPr>
        <w:pStyle w:val="3"/>
        <w:keepNext w:val="0"/>
        <w:keepLines w:val="0"/>
        <w:pageBreakBefore w:val="0"/>
        <w:kinsoku/>
        <w:wordWrap/>
        <w:overflowPunct/>
        <w:topLinePunct w:val="0"/>
        <w:autoSpaceDE/>
        <w:autoSpaceDN/>
        <w:bidi w:val="0"/>
        <w:adjustRightInd/>
        <w:snapToGrid/>
        <w:spacing w:after="0" w:line="600" w:lineRule="exact"/>
        <w:ind w:left="0" w:leftChars="0" w:right="0" w:firstLine="640" w:firstLineChars="200"/>
        <w:textAlignment w:val="auto"/>
        <w:rPr>
          <w:rFonts w:hint="eastAsia" w:ascii="仿宋_GB2312" w:hAnsi="仿宋_GB2312" w:eastAsia="仿宋_GB2312" w:cs="仿宋_GB2312"/>
          <w:spacing w:val="-6"/>
          <w:sz w:val="32"/>
          <w:szCs w:val="32"/>
          <w:lang w:val="en-US" w:eastAsia="zh-CN"/>
        </w:rPr>
      </w:pPr>
      <w:r>
        <w:rPr>
          <w:rFonts w:hint="eastAsia" w:ascii="黑体" w:hAnsi="黑体" w:eastAsia="黑体" w:cs="黑体"/>
          <w:sz w:val="32"/>
          <w:szCs w:val="32"/>
          <w:lang w:val="en-US" w:eastAsia="zh-CN"/>
        </w:rPr>
        <w:t>二、主要内容</w:t>
      </w:r>
      <w:r>
        <w:rPr>
          <w:rFonts w:hint="eastAsia" w:ascii="黑体" w:hAnsi="黑体" w:eastAsia="黑体" w:cs="黑体"/>
          <w:sz w:val="36"/>
          <w:szCs w:val="36"/>
          <w:lang w:val="en-US" w:eastAsia="zh-CN"/>
        </w:rPr>
        <w:br w:type="textWrapping"/>
      </w:r>
      <w:r>
        <w:rPr>
          <w:rFonts w:hint="eastAsia" w:ascii="仿宋_GB2312" w:hAnsi="仿宋_GB2312" w:eastAsia="仿宋_GB2312" w:cs="仿宋_GB2312"/>
          <w:b w:val="0"/>
          <w:bCs w:val="0"/>
          <w:spacing w:val="-6"/>
          <w:kern w:val="2"/>
          <w:sz w:val="32"/>
          <w:szCs w:val="32"/>
          <w:lang w:val="en-US" w:eastAsia="zh-CN" w:bidi="ar-SA"/>
        </w:rPr>
        <w:t xml:space="preserve">　  </w:t>
      </w:r>
      <w:r>
        <w:rPr>
          <w:rFonts w:hint="eastAsia" w:ascii="仿宋_GB2312" w:hAnsi="仿宋_GB2312" w:eastAsia="仿宋_GB2312" w:cs="仿宋_GB2312"/>
          <w:spacing w:val="-6"/>
          <w:sz w:val="32"/>
          <w:szCs w:val="32"/>
          <w:lang w:val="en-US" w:eastAsia="zh-CN"/>
        </w:rPr>
        <w:t>《通知》主要内容如下：</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方正楷体_GBK" w:hAnsi="方正楷体_GBK" w:eastAsia="方正楷体_GBK" w:cs="方正楷体_GBK"/>
          <w:b w:val="0"/>
          <w:bCs w:val="0"/>
          <w:color w:val="000000"/>
          <w:kern w:val="2"/>
          <w:sz w:val="32"/>
          <w:szCs w:val="32"/>
          <w:highlight w:val="none"/>
          <w:lang w:val="en-US" w:eastAsia="zh-CN" w:bidi="ar-SA"/>
        </w:rPr>
      </w:pPr>
      <w:r>
        <w:rPr>
          <w:rFonts w:hint="eastAsia" w:ascii="方正楷体_GBK" w:hAnsi="方正楷体_GBK" w:eastAsia="方正楷体_GBK" w:cs="方正楷体_GBK"/>
          <w:b w:val="0"/>
          <w:bCs w:val="0"/>
          <w:color w:val="000000"/>
          <w:kern w:val="2"/>
          <w:sz w:val="32"/>
          <w:szCs w:val="32"/>
          <w:highlight w:val="none"/>
          <w:lang w:val="en-US" w:eastAsia="zh-CN" w:bidi="ar-SA"/>
        </w:rPr>
        <w:t>（一）明确实施范围及准入</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覆盖全市具备康复资质的医保定点机构，适用于我市基本医疗保险参保人在符合条件的定点医疗机构发生的符合规定的康复病种的住院病例。医疗机构需完成备案并经审核，患者需渡过手术期或急性期、病情稳定且符合病种目录和收治要求方可纳入。</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方正楷体_GBK" w:hAnsi="方正楷体_GBK" w:eastAsia="方正楷体_GBK" w:cs="方正楷体_GBK"/>
          <w:b w:val="0"/>
          <w:bCs w:val="0"/>
          <w:color w:val="000000"/>
          <w:kern w:val="2"/>
          <w:sz w:val="32"/>
          <w:szCs w:val="32"/>
          <w:highlight w:val="none"/>
          <w:lang w:val="en-US" w:eastAsia="zh-CN" w:bidi="ar-SA"/>
        </w:rPr>
      </w:pPr>
      <w:r>
        <w:rPr>
          <w:rFonts w:hint="eastAsia" w:ascii="方正楷体_GBK" w:hAnsi="方正楷体_GBK" w:eastAsia="方正楷体_GBK" w:cs="方正楷体_GBK"/>
          <w:b w:val="0"/>
          <w:bCs w:val="0"/>
          <w:color w:val="000000"/>
          <w:kern w:val="2"/>
          <w:sz w:val="32"/>
          <w:szCs w:val="32"/>
          <w:highlight w:val="none"/>
          <w:lang w:val="en-US" w:eastAsia="zh-CN" w:bidi="ar-SA"/>
        </w:rPr>
        <w:t>（二）细化病种目录及付费标准</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首批纳入脑务管病（卒中）急性期康复治疗、慢性心力衰竭、肿瘤康复治疗等3类5个主要诊断病种。根据疾病诊数据恢复、功能障碍数量、综合评定结果及康复费用占比等因素，划分三个治疗阶段（0-30天、30-90天、90-180天）和三甲、三乙、二级、一级及以下四个医疗机构级别，实行梯度递减的床日付费标准。</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方正楷体_GBK" w:hAnsi="方正楷体_GBK" w:eastAsia="方正楷体_GBK" w:cs="方正楷体_GBK"/>
          <w:b w:val="0"/>
          <w:bCs w:val="0"/>
          <w:color w:val="000000"/>
          <w:kern w:val="2"/>
          <w:sz w:val="32"/>
          <w:szCs w:val="32"/>
          <w:highlight w:val="none"/>
          <w:lang w:val="en-US" w:eastAsia="zh-CN" w:bidi="ar-SA"/>
        </w:rPr>
      </w:pPr>
      <w:r>
        <w:rPr>
          <w:rFonts w:hint="eastAsia" w:ascii="方正楷体_GBK" w:hAnsi="方正楷体_GBK" w:eastAsia="方正楷体_GBK" w:cs="方正楷体_GBK"/>
          <w:b w:val="0"/>
          <w:bCs w:val="0"/>
          <w:color w:val="000000"/>
          <w:kern w:val="2"/>
          <w:sz w:val="32"/>
          <w:szCs w:val="32"/>
          <w:highlight w:val="none"/>
          <w:lang w:val="en-US" w:eastAsia="zh-CN" w:bidi="ar-SA"/>
        </w:rPr>
        <w:t>（三）支付与结算</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2"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一是</w:t>
      </w:r>
      <w:r>
        <w:rPr>
          <w:rFonts w:hint="eastAsia" w:ascii="仿宋_GB2312" w:hAnsi="仿宋_GB2312" w:eastAsia="仿宋_GB2312" w:cs="仿宋_GB2312"/>
          <w:b w:val="0"/>
          <w:bCs w:val="0"/>
          <w:color w:val="000000"/>
          <w:kern w:val="2"/>
          <w:sz w:val="32"/>
          <w:szCs w:val="32"/>
          <w:highlight w:val="none"/>
          <w:lang w:val="en-US" w:eastAsia="zh-CN" w:bidi="ar-SA"/>
        </w:rPr>
        <w:t>纳入区域总额预算下的DRG+点值付费管理。</w:t>
      </w:r>
      <w:r>
        <w:rPr>
          <w:rFonts w:hint="eastAsia" w:ascii="仿宋_GB2312" w:hAnsi="仿宋_GB2312" w:eastAsia="仿宋_GB2312" w:cs="仿宋_GB2312"/>
          <w:b/>
          <w:bCs/>
          <w:color w:val="000000"/>
          <w:kern w:val="2"/>
          <w:sz w:val="32"/>
          <w:szCs w:val="32"/>
          <w:highlight w:val="none"/>
          <w:lang w:val="en-US" w:eastAsia="zh-CN" w:bidi="ar-SA"/>
        </w:rPr>
        <w:t>二是</w:t>
      </w:r>
      <w:r>
        <w:rPr>
          <w:rFonts w:hint="eastAsia" w:ascii="仿宋_GB2312" w:hAnsi="仿宋_GB2312" w:eastAsia="仿宋_GB2312" w:cs="仿宋_GB2312"/>
          <w:b w:val="0"/>
          <w:bCs w:val="0"/>
          <w:color w:val="000000"/>
          <w:kern w:val="2"/>
          <w:sz w:val="32"/>
          <w:szCs w:val="32"/>
          <w:highlight w:val="none"/>
          <w:lang w:val="en-US" w:eastAsia="zh-CN" w:bidi="ar-SA"/>
        </w:rPr>
        <w:t>实行“结余留用、超支不补”。医保基金按累计定额费用（实际住院康复天数*对应阶段标准）减去患者个人负担后与机构结算。康复住院小于10天者退出按床日付费。</w:t>
      </w:r>
      <w:r>
        <w:rPr>
          <w:rFonts w:hint="eastAsia" w:ascii="仿宋_GB2312" w:hAnsi="仿宋_GB2312" w:eastAsia="仿宋_GB2312" w:cs="仿宋_GB2312"/>
          <w:b w:val="0"/>
          <w:bCs w:val="0"/>
          <w:spacing w:val="-6"/>
          <w:kern w:val="2"/>
          <w:sz w:val="32"/>
          <w:szCs w:val="32"/>
          <w:lang w:val="en-US" w:eastAsia="zh-CN" w:bidi="ar-SA"/>
        </w:rPr>
        <w:t>连续2个自然年度内，患者因同一病种多次住院(含转院)康复天数累计计算；累计天数超过180天的，因同一疾病再次入院(含转院)不再执行康复病种按床日付费政策。</w:t>
      </w:r>
      <w:r>
        <w:rPr>
          <w:rFonts w:hint="eastAsia" w:ascii="仿宋_GB2312" w:hAnsi="仿宋_GB2312" w:eastAsia="仿宋_GB2312" w:cs="仿宋_GB2312"/>
          <w:b/>
          <w:bCs/>
          <w:color w:val="000000"/>
          <w:kern w:val="2"/>
          <w:sz w:val="32"/>
          <w:szCs w:val="32"/>
          <w:highlight w:val="none"/>
          <w:lang w:val="en-US" w:eastAsia="zh-CN" w:bidi="ar-SA"/>
        </w:rPr>
        <w:t>三是</w:t>
      </w:r>
      <w:r>
        <w:rPr>
          <w:rFonts w:hint="eastAsia" w:ascii="仿宋_GB2312" w:hAnsi="仿宋_GB2312" w:eastAsia="仿宋_GB2312" w:cs="仿宋_GB2312"/>
          <w:b w:val="0"/>
          <w:bCs w:val="0"/>
          <w:color w:val="000000"/>
          <w:kern w:val="2"/>
          <w:sz w:val="32"/>
          <w:szCs w:val="32"/>
          <w:highlight w:val="none"/>
          <w:lang w:val="en-US" w:eastAsia="zh-CN" w:bidi="ar-SA"/>
        </w:rPr>
        <w:t>设置了费用极高、费用极低病例的结算规则，以及不超过总病例数5%的特例单议机制，增强政策的适应性与灵活性。</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方正楷体_GBK" w:hAnsi="方正楷体_GBK" w:eastAsia="方正楷体_GBK" w:cs="方正楷体_GBK"/>
          <w:b w:val="0"/>
          <w:bCs w:val="0"/>
          <w:color w:val="000000"/>
          <w:kern w:val="2"/>
          <w:sz w:val="32"/>
          <w:szCs w:val="32"/>
          <w:highlight w:val="none"/>
          <w:lang w:val="en-US" w:eastAsia="zh-CN" w:bidi="ar-SA"/>
        </w:rPr>
      </w:pPr>
      <w:r>
        <w:rPr>
          <w:rFonts w:hint="eastAsia" w:ascii="方正楷体_GBK" w:hAnsi="方正楷体_GBK" w:eastAsia="方正楷体_GBK" w:cs="方正楷体_GBK"/>
          <w:b w:val="0"/>
          <w:bCs w:val="0"/>
          <w:color w:val="000000"/>
          <w:kern w:val="2"/>
          <w:sz w:val="32"/>
          <w:szCs w:val="32"/>
          <w:highlight w:val="none"/>
          <w:lang w:val="en-US" w:eastAsia="zh-CN" w:bidi="ar-SA"/>
        </w:rPr>
        <w:t>（四）强化配套管理与监督</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强化医疗机构备案审核、数据上传管理。建立付费标准动态调整机制，按季度监测评估政策运行情况。加强医保监管，建立付费标准动态调整机制。</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方正黑体_GBK" w:hAnsi="方正黑体_GBK" w:eastAsia="方正黑体_GBK" w:cs="方正黑体_GBK"/>
          <w:b w:val="0"/>
          <w:bCs w:val="0"/>
          <w:color w:val="000000"/>
          <w:kern w:val="2"/>
          <w:sz w:val="32"/>
          <w:szCs w:val="32"/>
          <w:highlight w:val="none"/>
          <w:lang w:val="en-US" w:eastAsia="zh-CN" w:bidi="ar-SA"/>
        </w:rPr>
        <w:t>五、其它</w:t>
      </w:r>
    </w:p>
    <w:p>
      <w:pPr>
        <w:pStyle w:val="3"/>
        <w:keepNext w:val="0"/>
        <w:keepLines w:val="0"/>
        <w:pageBreakBefore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本《通知》涉及的五个附件（病种目录、功能障碍目录、评定量表、收治要求、备案表）是政策实施不可或缺的组成部分，提供了具体损伤标准与工具。本通知2026年3月1日起试行，试行期2年。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D176C"/>
    <w:rsid w:val="47DB06FC"/>
    <w:rsid w:val="56BD300D"/>
    <w:rsid w:val="67DD176C"/>
    <w:rsid w:val="6BFFAA8C"/>
    <w:rsid w:val="7F72993D"/>
    <w:rsid w:val="95A5D1F6"/>
    <w:rsid w:val="CEF7A64E"/>
    <w:rsid w:val="DE5F465A"/>
    <w:rsid w:val="DEF57A4B"/>
    <w:rsid w:val="ED37792F"/>
    <w:rsid w:val="EFE1EC4C"/>
    <w:rsid w:val="FDFF3654"/>
    <w:rsid w:val="FEEE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line="360" w:lineRule="auto"/>
      <w:ind w:left="420" w:leftChars="200"/>
    </w:pPr>
    <w:rPr>
      <w:rFonts w:ascii="Times New Roman" w:hAnsi="Times New Roman" w:eastAsia="仿宋" w:cs="宋体"/>
      <w:sz w:val="2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next w:val="1"/>
    <w:qFormat/>
    <w:uiPriority w:val="0"/>
    <w:pPr>
      <w:widowControl w:val="0"/>
      <w:ind w:left="280"/>
    </w:pPr>
    <w:rPr>
      <w:rFonts w:ascii="Calibri" w:hAnsi="Calibri" w:eastAsia="楷体" w:cs="Times New Roman"/>
      <w:smallCaps/>
      <w:kern w:val="2"/>
      <w:sz w:val="21"/>
      <w:szCs w:val="24"/>
      <w:lang w:val="en-US" w:eastAsia="zh-CN" w:bidi="ar-SA"/>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1187</Words>
  <Characters>1237</Characters>
  <Lines>0</Lines>
  <Paragraphs>0</Paragraphs>
  <TotalTime>4</TotalTime>
  <ScaleCrop>false</ScaleCrop>
  <LinksUpToDate>false</LinksUpToDate>
  <CharactersWithSpaces>1251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2025-12-31T01:40:00Z</dcterms:created>
  <dc:creator>林鑫炤</dc:creator>
  <cp:lastModifiedBy>lzh</cp:lastModifiedBy>
  <dcterms:modified xsi:type="dcterms:W3CDTF">2025-12-30T11:37:46Z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BDAFFB28F11643C8AF1A362EDD8C2838_11</vt:lpwstr>
  </property>
  <property fmtid="{D5CDD505-2E9C-101B-9397-08002B2CF9AE}" pid="4" name="KSOTemplateDocerSaveRecord">
    <vt:lpwstr>eyJoZGlkIjoiYmM0ZTQ2N2UxNGE2OTBhYjE3ZWE0NDgzZWJiOGE4ZTAiLCJ1c2VySWQiOiIxNjg4ODI3NzQ1In0=</vt:lpwstr>
  </property>
</Properties>
</file>