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福州市医疗保障局关于规范整合妇科类医疗服务价格项目的通知</w:t>
      </w:r>
      <w:r>
        <w:rPr>
          <w:rFonts w:hint="eastAsia" w:ascii="黑体" w:hAnsi="黑体" w:eastAsia="黑体" w:cs="黑体"/>
          <w:color w:val="auto"/>
          <w:sz w:val="44"/>
          <w:szCs w:val="44"/>
        </w:rPr>
        <w:t>》的政策解读</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近日，</w:t>
      </w:r>
      <w:r>
        <w:rPr>
          <w:rFonts w:hint="default"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rPr>
        <w:t>医疗保障局印发了《</w:t>
      </w:r>
      <w:r>
        <w:rPr>
          <w:rFonts w:hint="eastAsia" w:ascii="仿宋_GB2312" w:hAnsi="仿宋_GB2312" w:eastAsia="仿宋_GB2312" w:cs="仿宋_GB2312"/>
          <w:color w:val="auto"/>
          <w:sz w:val="32"/>
          <w:szCs w:val="32"/>
          <w:lang w:val="en-US" w:eastAsia="zh-CN"/>
        </w:rPr>
        <w:t>福州市医疗保障局关于规范整合妇科类医疗服务价格项目的通知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榕医保规〔2026〕</w:t>
      </w: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号</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，现将主要内容解读如下：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w:t>
      </w:r>
      <w:r>
        <w:rPr>
          <w:rFonts w:hint="default" w:ascii="黑体" w:hAnsi="黑体" w:eastAsia="黑体" w:cs="黑体"/>
          <w:color w:val="auto"/>
          <w:sz w:val="32"/>
          <w:szCs w:val="32"/>
        </w:rPr>
        <w:t>相关</w:t>
      </w:r>
      <w:r>
        <w:rPr>
          <w:rFonts w:hint="eastAsia" w:ascii="黑体" w:hAnsi="黑体" w:eastAsia="黑体" w:cs="黑体"/>
          <w:color w:val="auto"/>
          <w:sz w:val="32"/>
          <w:szCs w:val="32"/>
        </w:rPr>
        <w:t>背景</w:t>
      </w:r>
    </w:p>
    <w:p>
      <w:pPr>
        <w:rPr>
          <w:rFonts w:hint="eastAsia" w:ascii="仿宋_GB2312" w:hAnsi="仿宋_GB2312" w:eastAsia="仿宋_GB2312" w:cs="仿宋_GB2312"/>
          <w:color w:val="auto"/>
          <w:sz w:val="32"/>
          <w:szCs w:val="32"/>
        </w:rPr>
      </w:pPr>
      <w:r>
        <w:rPr>
          <w:rFonts w:hint="default"/>
          <w:sz w:val="32"/>
          <w:szCs w:val="32"/>
        </w:rPr>
        <w:t xml:space="preserve">    </w:t>
      </w:r>
      <w:r>
        <w:rPr>
          <w:rFonts w:hint="eastAsia"/>
          <w:sz w:val="32"/>
          <w:szCs w:val="32"/>
        </w:rPr>
        <w:t>为</w:t>
      </w:r>
      <w:r>
        <w:rPr>
          <w:rFonts w:hint="eastAsia" w:ascii="仿宋_GB2312" w:hAnsi="仿宋_GB2312" w:eastAsia="仿宋_GB2312" w:cs="仿宋_GB2312"/>
          <w:color w:val="auto"/>
          <w:sz w:val="32"/>
          <w:szCs w:val="32"/>
        </w:rPr>
        <w:t>贯彻落实国家医保局等八部门《关于印发〈深化医疗服务价格改革试点方案〉的通知》（医保发〔2021〕41号）等文件精神，建立以服务产出为导向的价格项目管理机制，发挥价格调节作用，按照国家医保局国家医疗保障局立项指南《妇科类医疗服务价格项目立项指南（试行）》</w:t>
      </w:r>
      <w:bookmarkStart w:id="0" w:name="_GoBack"/>
      <w:bookmarkEnd w:id="0"/>
      <w:r>
        <w:rPr>
          <w:rFonts w:hint="default" w:ascii="仿宋_GB2312" w:hAnsi="仿宋_GB2312" w:eastAsia="仿宋_GB2312" w:cs="仿宋_GB2312"/>
          <w:color w:val="auto"/>
          <w:sz w:val="32"/>
          <w:szCs w:val="32"/>
        </w:rPr>
        <w:t>和《福建省医疗保障局关于规范整合妇科类医疗服务价格项目的通知》（闽医保〔2025〕83号）</w:t>
      </w:r>
      <w:r>
        <w:rPr>
          <w:rFonts w:hint="eastAsia" w:ascii="仿宋_GB2312" w:hAnsi="仿宋_GB2312" w:eastAsia="仿宋_GB2312" w:cs="仿宋_GB2312"/>
          <w:color w:val="auto"/>
          <w:sz w:val="32"/>
          <w:szCs w:val="32"/>
        </w:rPr>
        <w:t>的文件精神，结合我</w:t>
      </w:r>
      <w:r>
        <w:rPr>
          <w:rFonts w:hint="default"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实际情况，规范整合我</w:t>
      </w:r>
      <w:r>
        <w:rPr>
          <w:rFonts w:hint="default" w:ascii="仿宋_GB2312" w:hAnsi="仿宋_GB2312" w:eastAsia="仿宋_GB2312" w:cs="仿宋_GB2312"/>
          <w:color w:val="auto"/>
          <w:sz w:val="32"/>
          <w:szCs w:val="32"/>
        </w:rPr>
        <w:t>市妇科类</w:t>
      </w:r>
      <w:r>
        <w:rPr>
          <w:rFonts w:hint="eastAsia" w:ascii="仿宋_GB2312" w:hAnsi="仿宋_GB2312" w:eastAsia="仿宋_GB2312" w:cs="仿宋_GB2312"/>
          <w:color w:val="auto"/>
          <w:sz w:val="32"/>
          <w:szCs w:val="32"/>
        </w:rPr>
        <w:t>医疗服务价格项目。</w:t>
      </w:r>
    </w:p>
    <w:p>
      <w:pPr>
        <w:numPr>
          <w:ilvl w:val="0"/>
          <w:numId w:val="1"/>
        </w:numPr>
        <w:ind w:left="640" w:leftChars="0" w:firstLine="0" w:firstLineChars="0"/>
        <w:rPr>
          <w:rFonts w:hint="eastAsia" w:ascii="黑体" w:hAnsi="黑体" w:eastAsia="黑体" w:cs="黑体"/>
          <w:sz w:val="32"/>
          <w:szCs w:val="32"/>
        </w:rPr>
      </w:pPr>
      <w:r>
        <w:rPr>
          <w:rFonts w:hint="eastAsia" w:ascii="黑体" w:hAnsi="黑体" w:eastAsia="黑体" w:cs="黑体"/>
          <w:sz w:val="32"/>
          <w:szCs w:val="32"/>
        </w:rPr>
        <w:t>主要内容</w:t>
      </w:r>
    </w:p>
    <w:p>
      <w:pPr>
        <w:numPr>
          <w:ilvl w:val="0"/>
          <w:numId w:val="0"/>
        </w:numPr>
        <w:ind w:left="640" w:leftChars="0"/>
        <w:rPr>
          <w:rFonts w:hint="eastAsia" w:ascii="仿宋_GB2312" w:hAnsi="仿宋_GB2312" w:eastAsia="仿宋_GB2312" w:cs="Times New Roman"/>
          <w:spacing w:val="-6"/>
          <w:kern w:val="2"/>
          <w:sz w:val="32"/>
          <w:szCs w:val="20"/>
          <w:lang w:val="en" w:eastAsia="zh-CN" w:bidi="ar-SA"/>
        </w:rPr>
      </w:pPr>
      <w:r>
        <w:rPr>
          <w:rFonts w:hint="default" w:ascii="仿宋_GB2312" w:hAnsi="仿宋_GB2312" w:eastAsia="仿宋_GB2312" w:cs="Times New Roman"/>
          <w:spacing w:val="-6"/>
          <w:kern w:val="2"/>
          <w:sz w:val="32"/>
          <w:szCs w:val="20"/>
          <w:lang w:val="en" w:eastAsia="zh-CN" w:bidi="ar-SA"/>
        </w:rPr>
        <w:t>（一）</w:t>
      </w:r>
      <w:r>
        <w:rPr>
          <w:rFonts w:hint="eastAsia" w:ascii="仿宋_GB2312" w:hAnsi="仿宋_GB2312" w:eastAsia="仿宋_GB2312" w:cs="Times New Roman"/>
          <w:spacing w:val="-6"/>
          <w:kern w:val="2"/>
          <w:sz w:val="32"/>
          <w:szCs w:val="20"/>
          <w:lang w:val="en" w:eastAsia="zh-CN" w:bidi="ar-SA"/>
        </w:rPr>
        <w:t>规范整合妇科类医疗服务价格项目</w:t>
      </w:r>
    </w:p>
    <w:p>
      <w:pPr>
        <w:pStyle w:val="2"/>
        <w:keepNext w:val="0"/>
        <w:keepLines w:val="0"/>
        <w:pageBreakBefore w:val="0"/>
        <w:wordWrap/>
        <w:overflowPunct/>
        <w:topLinePunct w:val="0"/>
        <w:bidi w:val="0"/>
        <w:spacing w:before="0" w:line="240" w:lineRule="auto"/>
        <w:ind w:right="17" w:firstLine="616" w:firstLineChars="200"/>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1.规范整合妇科类项目85项，并确定我市公立医疗机构价格。</w:t>
      </w:r>
    </w:p>
    <w:p>
      <w:pPr>
        <w:pStyle w:val="2"/>
        <w:keepNext w:val="0"/>
        <w:keepLines w:val="0"/>
        <w:pageBreakBefore w:val="0"/>
        <w:wordWrap/>
        <w:overflowPunct/>
        <w:topLinePunct w:val="0"/>
        <w:bidi w:val="0"/>
        <w:spacing w:before="0" w:line="240" w:lineRule="auto"/>
        <w:ind w:right="17" w:firstLine="616" w:firstLineChars="200"/>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2.修订输卵管介入治疗等妇科类医疗服务价格项目7项。</w:t>
      </w:r>
    </w:p>
    <w:p>
      <w:pPr>
        <w:pStyle w:val="2"/>
        <w:keepNext w:val="0"/>
        <w:keepLines w:val="0"/>
        <w:pageBreakBefore w:val="0"/>
        <w:wordWrap/>
        <w:overflowPunct/>
        <w:topLinePunct w:val="0"/>
        <w:bidi w:val="0"/>
        <w:spacing w:before="0" w:line="240" w:lineRule="auto"/>
        <w:ind w:right="17" w:firstLine="616" w:firstLineChars="200"/>
        <w:rPr>
          <w:rFonts w:hint="default" w:ascii="仿宋_GB2312" w:hAnsi="仿宋_GB2312" w:eastAsia="仿宋_GB2312" w:cs="Times New Roman"/>
          <w:spacing w:val="-6"/>
          <w:sz w:val="32"/>
          <w:szCs w:val="20"/>
          <w:lang w:val="en" w:eastAsia="zh-CN"/>
        </w:rPr>
      </w:pPr>
      <w:r>
        <w:rPr>
          <w:rFonts w:hint="default" w:ascii="仿宋_GB2312" w:hAnsi="仿宋_GB2312" w:eastAsia="仿宋_GB2312" w:cs="Times New Roman"/>
          <w:spacing w:val="-6"/>
          <w:sz w:val="32"/>
          <w:szCs w:val="20"/>
          <w:lang w:eastAsia="zh-CN"/>
        </w:rPr>
        <w:t>3.停用阴道镜检查等相关妇科类医疗服务价格项目297项。</w:t>
      </w:r>
    </w:p>
    <w:p>
      <w:pPr>
        <w:pStyle w:val="2"/>
        <w:keepNext w:val="0"/>
        <w:keepLines w:val="0"/>
        <w:pageBreakBefore w:val="0"/>
        <w:wordWrap/>
        <w:overflowPunct/>
        <w:topLinePunct w:val="0"/>
        <w:bidi w:val="0"/>
        <w:spacing w:before="0" w:line="240" w:lineRule="auto"/>
        <w:ind w:right="17"/>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 xml:space="preserve">    </w:t>
      </w:r>
      <w:r>
        <w:rPr>
          <w:rFonts w:hint="default" w:ascii="仿宋_GB2312" w:hAnsi="仿宋_GB2312" w:eastAsia="仿宋_GB2312" w:cs="Times New Roman"/>
          <w:spacing w:val="-6"/>
          <w:sz w:val="32"/>
          <w:szCs w:val="20"/>
          <w:lang w:val="en" w:eastAsia="zh-CN"/>
        </w:rPr>
        <w:t>（</w:t>
      </w:r>
      <w:r>
        <w:rPr>
          <w:rFonts w:hint="default" w:ascii="仿宋_GB2312" w:hAnsi="仿宋_GB2312" w:eastAsia="仿宋_GB2312" w:cs="Times New Roman"/>
          <w:spacing w:val="-6"/>
          <w:sz w:val="32"/>
          <w:szCs w:val="20"/>
          <w:lang w:eastAsia="zh-CN"/>
        </w:rPr>
        <w:t>二</w:t>
      </w:r>
      <w:r>
        <w:rPr>
          <w:rFonts w:hint="default" w:ascii="仿宋_GB2312" w:hAnsi="仿宋_GB2312" w:eastAsia="仿宋_GB2312" w:cs="Times New Roman"/>
          <w:spacing w:val="-6"/>
          <w:sz w:val="32"/>
          <w:szCs w:val="20"/>
          <w:lang w:val="en" w:eastAsia="zh-CN"/>
        </w:rPr>
        <w:t>）</w:t>
      </w:r>
      <w:r>
        <w:rPr>
          <w:rFonts w:hint="eastAsia" w:ascii="仿宋_GB2312" w:hAnsi="仿宋_GB2312" w:eastAsia="仿宋_GB2312" w:cs="Times New Roman"/>
          <w:spacing w:val="-6"/>
          <w:sz w:val="32"/>
          <w:szCs w:val="20"/>
          <w:lang w:val="en" w:eastAsia="zh-CN"/>
        </w:rPr>
        <w:t>纳入医保支付范围的</w:t>
      </w:r>
      <w:r>
        <w:rPr>
          <w:rFonts w:hint="default" w:ascii="仿宋_GB2312" w:hAnsi="仿宋_GB2312" w:eastAsia="仿宋_GB2312" w:cs="仿宋_GB2312"/>
          <w:color w:val="auto"/>
          <w:sz w:val="32"/>
          <w:szCs w:val="32"/>
        </w:rPr>
        <w:t>妇科类</w:t>
      </w:r>
      <w:r>
        <w:rPr>
          <w:rFonts w:hint="eastAsia" w:ascii="仿宋_GB2312" w:hAnsi="仿宋_GB2312" w:eastAsia="仿宋_GB2312" w:cs="Times New Roman"/>
          <w:spacing w:val="-6"/>
          <w:sz w:val="32"/>
          <w:szCs w:val="20"/>
          <w:lang w:val="en" w:eastAsia="zh-CN"/>
        </w:rPr>
        <w:t>医疗服务价格项目，医保属性、限用范围和个人先行自</w:t>
      </w:r>
      <w:r>
        <w:rPr>
          <w:rFonts w:hint="eastAsia" w:ascii="仿宋_GB2312" w:hAnsi="仿宋_GB2312" w:eastAsia="仿宋_GB2312" w:cs="仿宋_GB2312"/>
          <w:spacing w:val="14"/>
          <w:sz w:val="32"/>
          <w:szCs w:val="32"/>
        </w:rPr>
        <w:t>付比例</w:t>
      </w:r>
      <w:r>
        <w:rPr>
          <w:rFonts w:hint="eastAsia" w:ascii="仿宋_GB2312" w:hAnsi="仿宋_GB2312" w:eastAsia="仿宋_GB2312" w:cs="仿宋_GB2312"/>
          <w:spacing w:val="14"/>
          <w:sz w:val="32"/>
          <w:szCs w:val="32"/>
          <w:lang w:eastAsia="zh-CN"/>
        </w:rPr>
        <w:t>统一按省定标准</w:t>
      </w:r>
      <w:r>
        <w:rPr>
          <w:rFonts w:hint="eastAsia" w:ascii="仿宋_GB2312" w:hAnsi="仿宋_GB2312" w:eastAsia="仿宋_GB2312" w:cs="仿宋_GB2312"/>
          <w:spacing w:val="14"/>
          <w:sz w:val="32"/>
          <w:szCs w:val="32"/>
        </w:rPr>
        <w:t>执行，超出项</w:t>
      </w:r>
      <w:r>
        <w:rPr>
          <w:rFonts w:hint="eastAsia" w:ascii="仿宋_GB2312" w:hAnsi="仿宋_GB2312" w:eastAsia="仿宋_GB2312" w:cs="仿宋_GB2312"/>
          <w:spacing w:val="6"/>
          <w:sz w:val="32"/>
          <w:szCs w:val="32"/>
        </w:rPr>
        <w:t>目价格以上的部分由患者自付</w:t>
      </w:r>
      <w:r>
        <w:rPr>
          <w:rFonts w:hint="default" w:ascii="仿宋_GB2312" w:hAnsi="仿宋_GB2312" w:eastAsia="仿宋_GB2312" w:cs="仿宋_GB2312"/>
          <w:spacing w:val="6"/>
          <w:sz w:val="32"/>
          <w:szCs w:val="32"/>
        </w:rPr>
        <w:t>。</w:t>
      </w:r>
    </w:p>
    <w:p>
      <w:pPr>
        <w:ind w:firstLine="640"/>
        <w:rPr>
          <w:rFonts w:hint="eastAsia" w:ascii="黑体" w:hAnsi="黑体" w:eastAsia="黑体" w:cs="黑体"/>
          <w:sz w:val="32"/>
          <w:szCs w:val="32"/>
        </w:rPr>
      </w:pPr>
      <w:r>
        <w:rPr>
          <w:rFonts w:hint="eastAsia" w:ascii="黑体" w:hAnsi="黑体" w:eastAsia="黑体" w:cs="黑体"/>
          <w:sz w:val="32"/>
          <w:szCs w:val="32"/>
        </w:rPr>
        <w:t>三、</w:t>
      </w:r>
      <w:r>
        <w:rPr>
          <w:rFonts w:hint="default" w:ascii="黑体" w:hAnsi="黑体" w:eastAsia="黑体" w:cs="黑体"/>
          <w:sz w:val="32"/>
          <w:szCs w:val="32"/>
        </w:rPr>
        <w:t>相关</w:t>
      </w:r>
      <w:r>
        <w:rPr>
          <w:rFonts w:hint="eastAsia" w:ascii="黑体" w:hAnsi="黑体" w:eastAsia="黑体" w:cs="黑体"/>
          <w:sz w:val="32"/>
          <w:szCs w:val="32"/>
        </w:rPr>
        <w:t>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本通知自2026年3月10日起执行。各县(市)区医保局、市医保基金中心、市医保行为监测中心、市医保数据技术中心要高度重视规范整合妇科类医疗服务价格项目工作,加强对医疗机构项目对应、费用结算及医保支付工作的指导。开展新政策实施跟踪监测，密切关注价格规范整合后服务量和总费用的变化情况,强化相关费用审核监管,防范同类可替代项目服务量急增等情况,稳妥有序推进新旧政策的平稳衔接，确保医保基金规范使用。各有关医疗机构要及时做好信息系统更新维护和价格公示等相关工作，接受社会监督。</w:t>
      </w:r>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解读处室：医药价格和采购处</w:t>
      </w:r>
      <w:r>
        <w:rPr>
          <w:rFonts w:hint="default" w:ascii="仿宋_GB2312" w:hAnsi="仿宋_GB2312" w:eastAsia="仿宋_GB2312" w:cs="仿宋_GB2312"/>
          <w:sz w:val="32"/>
          <w:szCs w:val="32"/>
        </w:rPr>
        <w:t xml:space="preserve"> </w:t>
      </w:r>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B137C"/>
    <w:multiLevelType w:val="singleLevel"/>
    <w:tmpl w:val="7DBB137C"/>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75B8"/>
    <w:rsid w:val="1EF8C39B"/>
    <w:rsid w:val="27F40085"/>
    <w:rsid w:val="2FBFD915"/>
    <w:rsid w:val="34601718"/>
    <w:rsid w:val="3CFFA198"/>
    <w:rsid w:val="4BAB9F8E"/>
    <w:rsid w:val="4DFFB6BF"/>
    <w:rsid w:val="53C9A784"/>
    <w:rsid w:val="57CBA2D4"/>
    <w:rsid w:val="5E47CF8C"/>
    <w:rsid w:val="5FFEC98E"/>
    <w:rsid w:val="65DF2E8C"/>
    <w:rsid w:val="65FB3266"/>
    <w:rsid w:val="677D0BCC"/>
    <w:rsid w:val="6B177E04"/>
    <w:rsid w:val="6FFF1FFD"/>
    <w:rsid w:val="77E7F374"/>
    <w:rsid w:val="77FA2013"/>
    <w:rsid w:val="7FBCC57F"/>
    <w:rsid w:val="7FCE4E35"/>
    <w:rsid w:val="7FE6A7E8"/>
    <w:rsid w:val="97672C7F"/>
    <w:rsid w:val="9FD76A1C"/>
    <w:rsid w:val="A36F6168"/>
    <w:rsid w:val="ADEB3333"/>
    <w:rsid w:val="B5F79632"/>
    <w:rsid w:val="BBDD688C"/>
    <w:rsid w:val="BFFFBDC0"/>
    <w:rsid w:val="D0EBD791"/>
    <w:rsid w:val="D5EBFA2D"/>
    <w:rsid w:val="D7E771BD"/>
    <w:rsid w:val="DFFA34F3"/>
    <w:rsid w:val="E6B367B4"/>
    <w:rsid w:val="EB9FE2B7"/>
    <w:rsid w:val="EEF730DC"/>
    <w:rsid w:val="EFAEB11B"/>
    <w:rsid w:val="EFF6DD19"/>
    <w:rsid w:val="F367E2C8"/>
    <w:rsid w:val="F3BDE348"/>
    <w:rsid w:val="F3DF2B38"/>
    <w:rsid w:val="F5BE24FC"/>
    <w:rsid w:val="F727BF41"/>
    <w:rsid w:val="F7F71892"/>
    <w:rsid w:val="F8FF2474"/>
    <w:rsid w:val="FCD7B597"/>
    <w:rsid w:val="FEBEC675"/>
    <w:rsid w:val="FF7CE35F"/>
    <w:rsid w:val="FFA2BB94"/>
    <w:rsid w:val="FFAFACE0"/>
    <w:rsid w:val="FFEDA594"/>
    <w:rsid w:val="FFF816B6"/>
    <w:rsid w:val="FFFC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25</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linxp</dc:creator>
  <cp:lastModifiedBy>杨旸</cp:lastModifiedBy>
  <cp:lastPrinted>2025-07-19T09:27:00Z</cp:lastPrinted>
  <dcterms:modified xsi:type="dcterms:W3CDTF">2026-03-06T12:04:01Z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