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福州市医疗保障局关于规范整合体被系统类医疗服务价格项目的通知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福州市医疗保障局关于规范整合体被系统类医疗服务价格项目的通知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榕医保规〔2026〕</w:t>
      </w:r>
      <w:r>
        <w:rPr>
          <w:rFonts w:hint="default"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国家医疗保障局立项指南《体被系统医疗服务价格项目立项指南（试行）》</w:t>
      </w:r>
      <w:r>
        <w:rPr>
          <w:rFonts w:hint="default" w:ascii="仿宋_GB2312" w:hAnsi="仿宋_GB2312" w:eastAsia="仿宋_GB2312" w:cs="仿宋_GB2312"/>
          <w:color w:val="auto"/>
          <w:sz w:val="32"/>
          <w:szCs w:val="32"/>
        </w:rPr>
        <w:t>和《福建省医疗保障局关于规范整合体被系统类医疗服务价格项目的通知》（闽医保〔2025〕79号）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市体被系统类</w:t>
      </w:r>
      <w:r>
        <w:rPr>
          <w:rFonts w:hint="eastAsia" w:ascii="仿宋_GB2312" w:hAnsi="仿宋_GB2312" w:eastAsia="仿宋_GB2312" w:cs="仿宋_GB2312"/>
          <w:color w:val="auto"/>
          <w:sz w:val="32"/>
          <w:szCs w:val="32"/>
        </w:rPr>
        <w:t>医疗服务价格项目。</w:t>
      </w:r>
    </w:p>
    <w:p>
      <w:pPr>
        <w:numPr>
          <w:ilvl w:val="0"/>
          <w:numId w:val="1"/>
        </w:numPr>
        <w:ind w:left="640" w:leftChars="0" w:firstLine="0" w:firstLineChars="0"/>
        <w:rPr>
          <w:rFonts w:hint="eastAsia" w:ascii="黑体" w:hAnsi="黑体" w:eastAsia="黑体" w:cs="黑体"/>
          <w:sz w:val="32"/>
          <w:szCs w:val="32"/>
        </w:rPr>
      </w:pPr>
      <w:r>
        <w:rPr>
          <w:rFonts w:hint="eastAsia" w:ascii="黑体" w:hAnsi="黑体" w:eastAsia="黑体" w:cs="黑体"/>
          <w:sz w:val="32"/>
          <w:szCs w:val="32"/>
        </w:rPr>
        <w:t>主要内容</w:t>
      </w:r>
    </w:p>
    <w:p>
      <w:pPr>
        <w:numPr>
          <w:ilvl w:val="0"/>
          <w:numId w:val="0"/>
        </w:numPr>
        <w:ind w:left="640" w:leftChars="0"/>
        <w:rPr>
          <w:rFonts w:hint="eastAsia" w:ascii="仿宋_GB2312" w:hAnsi="仿宋_GB2312" w:eastAsia="仿宋_GB2312" w:cs="Times New Roman"/>
          <w:spacing w:val="-6"/>
          <w:kern w:val="2"/>
          <w:sz w:val="32"/>
          <w:szCs w:val="20"/>
          <w:lang w:val="en" w:eastAsia="zh-CN" w:bidi="ar-SA"/>
        </w:rPr>
      </w:pPr>
      <w:r>
        <w:rPr>
          <w:rFonts w:hint="default" w:ascii="仿宋_GB2312" w:hAnsi="仿宋_GB2312" w:eastAsia="仿宋_GB2312" w:cs="Times New Roman"/>
          <w:spacing w:val="-6"/>
          <w:kern w:val="2"/>
          <w:sz w:val="32"/>
          <w:szCs w:val="20"/>
          <w:lang w:val="en" w:eastAsia="zh-CN" w:bidi="ar-SA"/>
        </w:rPr>
        <w:t>（一）</w:t>
      </w:r>
      <w:r>
        <w:rPr>
          <w:rFonts w:hint="eastAsia" w:ascii="仿宋_GB2312" w:hAnsi="仿宋_GB2312" w:eastAsia="仿宋_GB2312" w:cs="Times New Roman"/>
          <w:spacing w:val="-6"/>
          <w:kern w:val="2"/>
          <w:sz w:val="32"/>
          <w:szCs w:val="20"/>
          <w:lang w:val="en" w:eastAsia="zh-CN" w:bidi="ar-SA"/>
        </w:rPr>
        <w:t>规范整合体被系统类医疗服务价格项目</w:t>
      </w:r>
    </w:p>
    <w:p>
      <w:pPr>
        <w:pStyle w:val="2"/>
        <w:keepNext w:val="0"/>
        <w:keepLines w:val="0"/>
        <w:pageBreakBefore w:val="0"/>
        <w:wordWrap/>
        <w:overflowPunct/>
        <w:topLinePunct w:val="0"/>
        <w:bidi w:val="0"/>
        <w:spacing w:before="0" w:line="240" w:lineRule="auto"/>
        <w:ind w:right="17"/>
        <w:rPr>
          <w:rFonts w:hint="eastAsia"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 xml:space="preserve">    1.</w:t>
      </w:r>
      <w:r>
        <w:rPr>
          <w:rFonts w:hint="eastAsia" w:ascii="仿宋_GB2312" w:hAnsi="仿宋_GB2312" w:eastAsia="仿宋_GB2312" w:cs="Times New Roman"/>
          <w:spacing w:val="-6"/>
          <w:sz w:val="32"/>
          <w:szCs w:val="20"/>
          <w:lang w:val="en" w:eastAsia="zh-CN"/>
        </w:rPr>
        <w:t>规范整合体被系统类项目53项，并确定我市公立医疗机构价格。</w:t>
      </w:r>
    </w:p>
    <w:p>
      <w:pPr>
        <w:pStyle w:val="2"/>
        <w:keepNext w:val="0"/>
        <w:keepLines w:val="0"/>
        <w:pageBreakBefore w:val="0"/>
        <w:wordWrap/>
        <w:overflowPunct/>
        <w:topLinePunct w:val="0"/>
        <w:bidi w:val="0"/>
        <w:spacing w:before="0" w:line="240" w:lineRule="auto"/>
        <w:ind w:right="17"/>
        <w:rPr>
          <w:rFonts w:hint="eastAsia"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 xml:space="preserve">    2.</w:t>
      </w:r>
      <w:r>
        <w:rPr>
          <w:rFonts w:hint="eastAsia" w:ascii="仿宋_GB2312" w:hAnsi="仿宋_GB2312" w:eastAsia="仿宋_GB2312" w:cs="Times New Roman"/>
          <w:spacing w:val="-6"/>
          <w:sz w:val="32"/>
          <w:szCs w:val="20"/>
          <w:lang w:val="en" w:eastAsia="zh-CN"/>
        </w:rPr>
        <w:t>停用变应原皮内试验等261项相关体被系统类项目。</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w:t>
      </w:r>
      <w:r>
        <w:rPr>
          <w:rFonts w:hint="default" w:ascii="仿宋_GB2312" w:hAnsi="仿宋_GB2312" w:eastAsia="仿宋_GB2312" w:cs="Times New Roman"/>
          <w:spacing w:val="-6"/>
          <w:sz w:val="32"/>
          <w:szCs w:val="20"/>
          <w:lang w:eastAsia="zh-CN"/>
        </w:rPr>
        <w:t>二</w:t>
      </w:r>
      <w:r>
        <w:rPr>
          <w:rFonts w:hint="default" w:ascii="仿宋_GB2312" w:hAnsi="仿宋_GB2312" w:eastAsia="仿宋_GB2312" w:cs="Times New Roman"/>
          <w:spacing w:val="-6"/>
          <w:sz w:val="32"/>
          <w:szCs w:val="20"/>
          <w:lang w:val="en" w:eastAsia="zh-CN"/>
        </w:rPr>
        <w:t>）</w:t>
      </w:r>
      <w:r>
        <w:rPr>
          <w:rFonts w:hint="eastAsia"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仿宋_GB2312"/>
          <w:color w:val="auto"/>
          <w:sz w:val="32"/>
          <w:szCs w:val="32"/>
        </w:rPr>
        <w:t>体被系统类</w:t>
      </w:r>
      <w:r>
        <w:rPr>
          <w:rFonts w:hint="eastAsia" w:ascii="仿宋_GB2312" w:hAnsi="仿宋_GB2312" w:eastAsia="仿宋_GB2312" w:cs="Times New Roman"/>
          <w:spacing w:val="-6"/>
          <w:sz w:val="32"/>
          <w:szCs w:val="20"/>
          <w:lang w:val="en" w:eastAsia="zh-CN"/>
        </w:rPr>
        <w:t>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本通</w:t>
      </w:r>
      <w:r>
        <w:rPr>
          <w:rFonts w:hint="eastAsia" w:ascii="仿宋_GB2312" w:hAnsi="仿宋_GB2312" w:eastAsia="仿宋_GB2312" w:cs="仿宋_GB2312"/>
          <w:sz w:val="32"/>
          <w:szCs w:val="32"/>
          <w:lang w:val="en-US" w:eastAsia="zh-CN"/>
        </w:rPr>
        <w:t>知自</w:t>
      </w:r>
      <w:r>
        <w:rPr>
          <w:rFonts w:hint="eastAsia" w:ascii="仿宋_GB2312" w:hAnsi="仿宋_GB2312" w:eastAsia="仿宋_GB2312" w:cs="仿宋_GB2312"/>
          <w:spacing w:val="-6"/>
          <w:sz w:val="32"/>
          <w:szCs w:val="32"/>
          <w:lang w:eastAsia="zh-CN"/>
        </w:rPr>
        <w:t>2026年3月10日</w:t>
      </w:r>
      <w:r>
        <w:rPr>
          <w:rFonts w:hint="eastAsia" w:ascii="仿宋_GB2312" w:hAnsi="仿宋_GB2312" w:eastAsia="仿宋_GB2312" w:cs="仿宋_GB2312"/>
          <w:sz w:val="32"/>
          <w:szCs w:val="32"/>
          <w:lang w:val="en-US" w:eastAsia="zh-CN"/>
        </w:rPr>
        <w:t>起执行。</w:t>
      </w:r>
      <w:r>
        <w:rPr>
          <w:rFonts w:hint="default" w:ascii="仿宋_GB2312" w:hAnsi="仿宋_GB2312" w:eastAsia="仿宋_GB2312" w:cs="仿宋_GB2312"/>
          <w:sz w:val="32"/>
          <w:szCs w:val="32"/>
          <w:lang w:val="en-US" w:eastAsia="zh-CN"/>
        </w:rPr>
        <w:t>各县(市)区医保局、市医保基金中心、市医保行为监测中心、市医保数据技术中心要高度重视规范整合体被系统类医疗服务价格项目工作,加强对医疗机构项目对应、费用结算及医保支付工作的指导。开展新政策实施跟踪监测，密切关注价格规范整合后服务量和总费用的变化情况,强化相关费用审核监管,防范同类可替代项目服务量急增等情况,稳妥有序推进新旧政策的平稳衔接</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确保医保基金规范使用。</w:t>
      </w:r>
      <w:r>
        <w:rPr>
          <w:rFonts w:hint="default" w:ascii="仿宋_GB2312" w:hAnsi="仿宋_GB2312" w:eastAsia="仿宋_GB2312" w:cs="仿宋_GB2312"/>
          <w:sz w:val="32"/>
          <w:szCs w:val="32"/>
          <w:lang w:eastAsia="zh-CN"/>
        </w:rPr>
        <w:t>各有关医疗机构要及时做好信息系统更新维护和价格公示等相关工作，接受社会监督。</w:t>
      </w:r>
      <w:bookmarkStart w:id="0" w:name="_GoBack"/>
      <w:bookmarkEnd w:id="0"/>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解读处室：医药价格和采购处</w:t>
      </w:r>
      <w:r>
        <w:rPr>
          <w:rFonts w:hint="default" w:ascii="仿宋_GB2312" w:hAnsi="仿宋_GB2312" w:eastAsia="仿宋_GB2312" w:cs="仿宋_GB2312"/>
          <w:sz w:val="32"/>
          <w:szCs w:val="32"/>
        </w:rPr>
        <w:t xml:space="preserve"> </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B137C"/>
    <w:multiLevelType w:val="singleLevel"/>
    <w:tmpl w:val="7DBB137C"/>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7F40085"/>
    <w:rsid w:val="2FBFD915"/>
    <w:rsid w:val="34601718"/>
    <w:rsid w:val="3CBF4D16"/>
    <w:rsid w:val="3CFFA198"/>
    <w:rsid w:val="4BAB9F8E"/>
    <w:rsid w:val="4DFFB6BF"/>
    <w:rsid w:val="53C9A784"/>
    <w:rsid w:val="57CBA2D4"/>
    <w:rsid w:val="5E47CF8C"/>
    <w:rsid w:val="5E656029"/>
    <w:rsid w:val="64FF7BCE"/>
    <w:rsid w:val="65DF2E8C"/>
    <w:rsid w:val="6BDBD56E"/>
    <w:rsid w:val="6BFE47A7"/>
    <w:rsid w:val="6FFF1FFD"/>
    <w:rsid w:val="74DD281A"/>
    <w:rsid w:val="77E7F374"/>
    <w:rsid w:val="77FA2013"/>
    <w:rsid w:val="7FBCC57F"/>
    <w:rsid w:val="7FCE4E35"/>
    <w:rsid w:val="7FE5D845"/>
    <w:rsid w:val="7FE6A7E8"/>
    <w:rsid w:val="97672C7F"/>
    <w:rsid w:val="9FD76A1C"/>
    <w:rsid w:val="A36F6168"/>
    <w:rsid w:val="ADEB3333"/>
    <w:rsid w:val="B5F79632"/>
    <w:rsid w:val="BBDD688C"/>
    <w:rsid w:val="BFFFBDC0"/>
    <w:rsid w:val="C475AEE7"/>
    <w:rsid w:val="CEE7C310"/>
    <w:rsid w:val="D0EBD791"/>
    <w:rsid w:val="D5EBFA2D"/>
    <w:rsid w:val="D7E771BD"/>
    <w:rsid w:val="DFFA34F3"/>
    <w:rsid w:val="E6B367B4"/>
    <w:rsid w:val="EB9FE2B7"/>
    <w:rsid w:val="EEF730DC"/>
    <w:rsid w:val="EFAEB11B"/>
    <w:rsid w:val="EFF6DD19"/>
    <w:rsid w:val="F367E2C8"/>
    <w:rsid w:val="F3BDE348"/>
    <w:rsid w:val="F3DF2B38"/>
    <w:rsid w:val="F5BE24FC"/>
    <w:rsid w:val="F727BF41"/>
    <w:rsid w:val="F7BD3727"/>
    <w:rsid w:val="F7F71892"/>
    <w:rsid w:val="F7F788E0"/>
    <w:rsid w:val="F8FF2474"/>
    <w:rsid w:val="F93F17C1"/>
    <w:rsid w:val="FAF970DB"/>
    <w:rsid w:val="FBDB776F"/>
    <w:rsid w:val="FCD7B597"/>
    <w:rsid w:val="FEBEC675"/>
    <w:rsid w:val="FFBDB353"/>
    <w:rsid w:val="FFEDA594"/>
    <w:rsid w:val="FFF816B6"/>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5</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linxp</dc:creator>
  <cp:lastModifiedBy>杨旸</cp:lastModifiedBy>
  <cp:lastPrinted>2025-07-18T09:27:00Z</cp:lastPrinted>
  <dcterms:modified xsi:type="dcterms:W3CDTF">2026-03-06T11:29:51Z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